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BB.2019.87 vom 21. Mai 2019</w:t>
      </w:r>
    </w:p>
    <w:p>
      <w:r>
        <w:t>Bundesstrafgericht, 2019-05-21, DE</w:t>
      </w:r>
    </w:p>
    <w:p>
      <w:r>
        <w:rPr>
          <w:b/>
        </w:rPr>
        <w:t xml:space="preserve">Quelle: </w:t>
      </w:r>
      <w:r>
        <w:t>https://mcp.opencaselaw.ch/entscheid/bstger_BB.2019.87</w:t>
      </w:r>
    </w:p>
    <w:p>
      <w:r>
        <w:t>FR: TPF BB.2019.87 du 21 mai 2019</w:t>
      </w:r>
    </w:p>
    <w:p>
      <w:r>
        <w:t>IT: TPF BB.2019.87 del 21 maggio 2019</w:t>
      </w:r>
    </w:p>
    <w:p>
      <w:pPr>
        <w:pStyle w:val="Heading2"/>
      </w:pPr>
      <w:r>
        <w:t>Regeste</w:t>
      </w:r>
    </w:p>
    <w:p>
      <w:r>
        <w:t>Rechtsverzögerung (Art. 393 Abs. 2 lit. a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2014, Art. 386 StPO N. 4);</w:t>
      </w:r>
    </w:p>
    <w:p>
      <w:r>
        <w:t>- 4 -</w:t>
      </w:r>
    </w:p>
    <w:p>
      <w:r>
        <w:t>- bei diesem Ausgang des Verfahrens der Beschwerdeführer die Gerichtskos- ten zu tragen hat (vgl. Art. 428 Abs. 1 StPO);</w:t>
      </w:r>
    </w:p>
    <w:p>
      <w:r>
        <w:t>- die Gerichtsgebühr auf das gesetzliche Minimum von Fr. 200.– festzusetzen ist (vgl. Art. 73 StBOG i.V.m. Art. 5 und Art. 8 Abs. 1 des Reglements des Bundesstrafgerichts vom 31. August 2010 über die Kosten, Gebühren und Entschädigungen in Bundesstrafverfahren [BStKR; SR 173.713.162]);</w:t>
      </w:r>
    </w:p>
    <w:p>
      <w:r>
        <w:t>- gemäss Art. 85 Abs. 1 StPO die Strafbehörden sich für ihre Mitteilungen der Schriftform bedienen, soweit dieses Gesetz nichts Abweichendes bestimmt; gemäss Art. 85 Abs. 2 StPO die Zustellung durch eingeschriebene Postsen- dung oder auf andere Weise gegen Empfangsbestätigung erfolgt, insbeson- dere durch die Polizei;</w:t>
      </w:r>
    </w:p>
    <w:p>
      <w:r>
        <w:t>- auch die Zustellung des vorliegenden Beschlusses an den Beschwerdefüh- rer durch eingeschriebene Postsendung erfolgt;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