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BB.2019.83 vom 29. Mai 2019</w:t>
      </w:r>
    </w:p>
    <w:p>
      <w:r>
        <w:t>Bundesstrafgericht, 2019-05-29, IT</w:t>
      </w:r>
    </w:p>
    <w:p>
      <w:r>
        <w:rPr>
          <w:b/>
        </w:rPr>
        <w:t xml:space="preserve">Quelle: </w:t>
      </w:r>
      <w:r>
        <w:t>https://mcp.opencaselaw.ch/entscheid/bstger_BB.2019.83</w:t>
      </w:r>
    </w:p>
    <w:p>
      <w:r>
        <w:t>FR: TPF BB.2019.83 du 29 mai 2019</w:t>
      </w:r>
    </w:p>
    <w:p>
      <w:r>
        <w:t>IT: TPF BB.2019.83 del 29 maggio 2019</w:t>
      </w:r>
    </w:p>
    <w:p>
      <w:pPr>
        <w:pStyle w:val="Heading2"/>
      </w:pPr>
      <w:r>
        <w:t>Regeste</w:t>
      </w:r>
    </w:p>
    <w:p>
      <w:r>
        <w:t>Esame degli atti (art. 101 e seg. in relazione con l'art. 107 cpv. 1 lett. a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divenuto privo d'oggetto e la causa è stralciata dal ruolo.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Il Ministero pubblico della Confederazione verserà al reclamante un importo di fr. 1’000.– a titolo di ripetibili.</w:t>
      </w:r>
    </w:p>
    <w:p>
      <w:r>
        <w:t>Bellinzona, 29 maggio 2019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Pierluigi Pasi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