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BB.2019.73 vom 26. April 2019</w:t>
      </w:r>
    </w:p>
    <w:p>
      <w:r>
        <w:t>Bundesstrafgericht, 2019-04-26, DE</w:t>
      </w:r>
    </w:p>
    <w:p>
      <w:r>
        <w:rPr>
          <w:b/>
        </w:rPr>
        <w:t xml:space="preserve">Quelle: </w:t>
      </w:r>
      <w:r>
        <w:t>https://mcp.opencaselaw.ch/entscheid/bstger_BB.2019.73</w:t>
      </w:r>
    </w:p>
    <w:p>
      <w:r>
        <w:t>FR: TPF BB.2019.73 du 26 avril 2019</w:t>
      </w:r>
    </w:p>
    <w:p>
      <w:r>
        <w:t>IT: TPF BB.2019.73 del 26 aprile 2019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Volltext</w:t>
      </w:r>
    </w:p>
    <w:p>
      <w:r>
        <w:t>Beschluss vom 26. April 2019 Beschwerdekammer Besetzung</w:t>
      </w:r>
    </w:p>
    <w:p>
      <w:r>
        <w:t>Bundesstrafrichter Giorgio Bomio-Giovanascini, Vorsitz, Andreas J. Keller und Cornelia Cova, Gerichtsschreiberin Santina Pizzonia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1. BUNDESANWALTSCHAFT, 2. B., ehemalige Bundesrichterin, Beschwerdegegnerinnen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BB.2019.73</w:t>
      </w:r>
    </w:p>
    <w:p>
      <w:r>
        <w:t>- 2 -</w:t>
      </w:r>
    </w:p>
    <w:p>
      <w:r>
        <w:t>Die Beschwerdekammer hält fest, dass:</w:t>
      </w:r>
    </w:p>
    <w:p>
      <w:r>
        <w:t>- A. am 26. Januar 2019 eine Strafanzeige gegen B., ehemalige Bundesrich- terin, im Zusammenhang mit deren Amtsausübung erhob;</w:t>
      </w:r>
    </w:p>
    <w:p>
      <w:r>
        <w:t>- die Bundesanwaltschaft mit Nichtanhandnahmeverfügung vom 18. März 2019 die Strafanzeige von A. nicht anhand nahm (act. 2);</w:t>
      </w:r>
    </w:p>
    <w:p>
      <w:r>
        <w:t>- A. hiergegen mit Eingabe vom 28. März 2019 Beschwerde bei der Beschwer- dekammer des Bundesstrafgerichts erhebt (act. 1);</w:t>
      </w:r>
    </w:p>
    <w:p>
      <w:r>
        <w:t>- die Bundesanwaltschaft der Beschwerdekammer auf entsprechende Auffor- derung hin (act. 3) die Verfahrensakten übermittelte (act. 4).</w:t>
      </w:r>
    </w:p>
    <w:p>
      <w:r>
        <w:t>Die Beschwerdekammer zieht in Erwägung, dass:</w:t>
      </w:r>
    </w:p>
    <w:p>
      <w:r>
        <w:t>- gegen eine Nichtanhandnahmeverfügung der Bundesanwaltschaft die Be- schwerde an die Beschwerdekammer des Bundesstrafgerichts zulässig ist (Art. 310 Abs. 2 i.V.m. Art. 322 Abs. 2 StPO und Art. 37 Abs. 1 StBOG);</w:t>
      </w:r>
    </w:p>
    <w:p>
      <w:r>
        <w:t>- zur Beschwerde die Parteien legitimiert sind, sofern sie ein rechtlich ge- schütztes Interesse an der Aufhebung oder Änderung des angefochtenen Entscheides haben (Art. 310 Abs. 2 i.V.m. Art. 322 Abs. 2 und Art. 382 Abs. 1 StPO);</w:t>
      </w:r>
    </w:p>
    <w:p>
      <w:r>
        <w:t>- die geschädigte Person somit grundsätzlich nur insoweit zur Beschwerde le- gitimiert ist, als sie sich im Sinne der Art. 118 f. StPO als Privatklägerschaft konstituiert hat bzw. als sie – was gerade bei der Nichtanhandnahmeverfü- gung der Fall sein kann – noch keine Gelegenheit hatte, sich als Privatklä- gerschaft zu konstituieren (vgl. hierzu u. a. den Beschluss des Bundesstraf- gerichts BB.2018.171 vom 15. Januar 2019 E. 1.2 mit Hinweis);</w:t>
      </w:r>
    </w:p>
    <w:p>
      <w:r>
        <w:t>- offenbar ein Urteil des Bundesgerichts von 28. November 2013 Hintergrund der Strafanzeige bildet;</w:t>
      </w:r>
    </w:p>
    <w:p>
      <w:r>
        <w:t>- der Beschwerdeführer in seiner Anzeige der damaligen Bundesrichterin B. vorwirft, sie habe vorsätzlich ein Fehlurteil gefällt; sie habe bei der Begrün- dung eines Urteils vorsätzlich ein entscheidendes Arztzeugnis ignoriert und sich dadurch des Amtsmissbrauchs schuldig gemacht;</w:t>
      </w:r>
    </w:p>
    <w:p>
      <w:r>
        <w:t>- 3 -</w:t>
      </w:r>
    </w:p>
    <w:p>
      <w:r>
        <w:t>- in seiner Beschwerde der Beschwerdeführer zusammenfassend mitteilt, er habe bereits ausführlich erklärt, dass es sich beim fraglichen Urteil um ein krasses sowie krudes Fehlurteil handle; der verfügende Staatsanwalt des Bundes habe mit der Nichtanhandnahme seine «Berufsverwandte» schüt- zen wollen (act. 1);</w:t>
      </w:r>
    </w:p>
    <w:p>
      <w:r>
        <w:t>- nach der Rechtsprechung zu Art. 312 StGB nur derjenige die Amtsgewalt missbraucht, welcher die Machtbefugnisse, die ihm sein Amt verleiht, un- rechtmässig anwendet, d. h. kraft seines Amtes verfügt oder Zwang ausübt, wo es nicht geschehen dürfte (BGE 127 IV 209 E. 1a und 1b S. 211 ff.; Urteil des Bundesgerichts 1C_584/2017 vom 1. Juni 2018 E. 3.2);</w:t>
      </w:r>
    </w:p>
    <w:p>
      <w:r>
        <w:t>- der Beschwerdeführer zwar gegen die damalige Bundesrichterin den Vor- wurf des Amtsmissbrauchs erhebt, er aber weder in seiner Anzeige noch in seiner Beschwerde im Einzelnen aufzeigt, inwiefern dieser Straftatbestand erfüllt sein soll; gestützt auf seine Darstellung ein Amtsmissbrauch nicht er- sichtlich ist; insbesondere ein allenfalls inhaltlich unrichtiger Entscheid für sich selbst keinen Amtsmissbrauch darzustellen vermag;</w:t>
      </w:r>
    </w:p>
    <w:p>
      <w:r>
        <w:t>- sich die Beschwerde gegen die Nichtanhandnahmeverfügung nach dem Ge- sagten als offensichtlich unbegründet erweist, weshalb sie ohne weiteren Schriftenwechsel abzuweisen ist (Art. 390 Abs. 2 StPO e contrario);</w:t>
      </w:r>
    </w:p>
    <w:p>
      <w:r>
        <w:t>- bei diesem Ausgang des Verfahrens die Gerichtskosten dem Beschwerde- führer aufzuerlegen sind (Art. 428 Abs. 1 StPO);</w:t>
      </w:r>
    </w:p>
    <w:p>
      <w:r>
        <w:t>- diese auf das gesetzliche Minimum von Fr. 200.-- festzusetzen sind (Art. 73 StBOG und Art. 5 und 8 Abs. 1 des Reglements des Bundesstrafgerichts vom 31. August 2010 über die Kosten, Gebühren und Entschädigungen in Bundesstrafverfahren [BStKR; SR 173.713.162]);</w:t>
      </w:r>
    </w:p>
    <w:p>
      <w:r>
        <w:t>- 4 -</w:t>
      </w:r>
    </w:p>
    <w:p>
      <w:r>
        <w:t>und erkennt:</w:t>
      </w:r>
    </w:p>
    <w:p>
      <w:r>
        <w:t>1. Die Beschwerde wird abgewiesen.</w:t>
      </w:r>
    </w:p>
    <w:p>
      <w:r>
        <w:t>2. Die Gerichtsgebühr von Fr. 200.-- wird dem Beschwerdeführer auferlegt.</w:t>
      </w:r>
    </w:p>
    <w:p>
      <w:r>
        <w:t>Bellinzona, 29. April 2019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B., ehemalige Bundesrichterin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