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BB.2019.68 vom 2. April 2019</w:t>
      </w:r>
    </w:p>
    <w:p>
      <w:r>
        <w:t>Bundesstrafgericht, 2019-04-02, DE</w:t>
      </w:r>
    </w:p>
    <w:p>
      <w:r>
        <w:rPr>
          <w:b/>
        </w:rPr>
        <w:t xml:space="preserve">Quelle: </w:t>
      </w:r>
      <w:r>
        <w:t>https://mcp.opencaselaw.ch/entscheid/bstger_BB.2019.68</w:t>
      </w:r>
    </w:p>
    <w:p>
      <w:r>
        <w:t>FR: TPF BB.2019.68 du 2 avril 2019</w:t>
      </w:r>
    </w:p>
    <w:p>
      <w:r>
        <w:t>IT: TPF BB.2019.68 del 2 aprile 2019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2. April 2019 Beschwerdekammer Besetzung</w:t>
      </w:r>
    </w:p>
    <w:p>
      <w:r>
        <w:t>Bundesstrafrichter Giorgio Bomio-Giovanascini, Vorsitz, Patrick Robert-Nicoud und Stephan Blättler,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BB.2019.68</w:t>
      </w:r>
    </w:p>
    <w:p>
      <w:r>
        <w:t>- 2 -</w:t>
      </w:r>
    </w:p>
    <w:p>
      <w:r>
        <w:t>Die Beschwerdekammer hält fest, dass:</w:t>
      </w:r>
    </w:p>
    <w:p>
      <w:r>
        <w:t>- A. am 26. Februar 2019 bei der Bundesanwaltschaft Strafantrag stellte ge- gen B. und gegen Rechtsanwalt C.;</w:t>
      </w:r>
    </w:p>
    <w:p>
      <w:r>
        <w:t>- er darin beantragte, zu B. sei ein Gutachten zu erstellen und gegen C. sei ein Verfahren einzuleiten wegen vorsätzlicher Irreführung der Rechtspflege, vorsätzlicher Nötigung, Betrugs gegenüber seiner Klientin, Amts- bzw. Rechtsmissbrauchs, Verstössen gegen die Standesehre der Rechtsanwälte, Verstössen gegen die Verfassung, die Rechtsgleichheit, die Diskriminierung etc. und die EMRK;</w:t>
      </w:r>
    </w:p>
    <w:p>
      <w:r>
        <w:t>- A. seine Eingabe am 1. März 2019 ergänzte (vgl. zum Ganzen die Akten SV.19.0267);</w:t>
      </w:r>
    </w:p>
    <w:p>
      <w:r>
        <w:t>- die Bundesanwaltschaft am 18. März 2019 verfügte, die gegen B. und C. gerichtete Strafanzeige werde nicht anhand genommen (act. 1.1);</w:t>
      </w:r>
    </w:p>
    <w:p>
      <w:r>
        <w:t>- A. hiergegen mit undatierter Beschwerde (Postaufgabe am 21. März 2019) bei der Beschwerdekammer des Bundesstrafgerichts Beschwerde erhob, worin er hauptsächlich beantragt, die angefochtene Verfügung sei vollum- fänglich aufzuheben und die Sache zur Neubeurteilung an die Vorinstanz zurückzuweisen (act. 1);</w:t>
      </w:r>
    </w:p>
    <w:p>
      <w:r>
        <w:t>- die Bundesanwaltschaft der Beschwerdekammer auf entsprechende Auffor- derung hin die Verfahrensakten übermittelte (act. 2 und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</w:t>
      </w:r>
    </w:p>
    <w:p>
      <w:r>
        <w:t>- 3 -</w:t>
      </w:r>
    </w:p>
    <w:p>
      <w:r>
        <w:t>konstituiert hat bzw. als sie – was gerade bei der Nichtanhandnahmeverfü- gung der Fall sein kann – noch keine Gelegenheit hatte, sich als Privatklä- gerschaft zu konstituieren (vgl. hierzu u. a. den Beschluss des Bundesstraf- gerichts BB.2018.171 vom 15. Januar 2019 E. 1.2 mit Hinweis);</w:t>
      </w:r>
    </w:p>
    <w:p>
      <w:r>
        <w:t>- offenbar eine zivilrechtliche Auseinandersetzung (Kündigung der vom Be- schwerdeführer bewohnten Mietwohnung) Gegenstand und Auslöser der Strafanzeige bildet;</w:t>
      </w:r>
    </w:p>
    <w:p>
      <w:r>
        <w:t>- der Beschwerdeführer im Rahmen seiner Strafanzeige zwar eine Reihe von Straftatbeständen anführte, darin jedoch keinen Sachverhalt darlegte, wel- cher eine Subsumtion unter einen dieser Tatbestände erlauben würde;</w:t>
      </w:r>
    </w:p>
    <w:p>
      <w:r>
        <w:t>- der Beschwerdeführer auch in seiner Beschwerde keine weiteren Angaben zum Sachverhalt macht und sich darin auch nicht mit den Erwägungen der Beschwerdegegnerin in der angefochtenen Verfügung auseinandersetzt;</w:t>
      </w:r>
    </w:p>
    <w:p>
      <w:r>
        <w:t>- ein Teil der vom Beschwerdeführer erhobenen Vorwürfe zudem keine Straf- tatbestände darstellen (so z.B. Verstösse gegen die Verfassung oder gegen die EMRK);</w:t>
      </w:r>
    </w:p>
    <w:p>
      <w:r>
        <w:t>- sich die Beschwerde gegen die Nichtanhandnahmeverfügung nach dem Ge- sagten als offensichtlich unbegründet erweist, weshalb sie ohne weiteren Schriftenwechsel abzuweisen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diese festzusetzen sind auf das gesetzliche Minimum von Fr. 200.– (Art. 73 StBOG und Art. 5 und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Die Beschwerde wird abgewiesen.</w:t>
      </w:r>
    </w:p>
    <w:p>
      <w:r>
        <w:t>2. Die Gerichtsgebühr von Fr. 200.– wird dem Beschwerdeführer auferlegt.</w:t>
      </w:r>
    </w:p>
    <w:p>
      <w:r>
        <w:t>Bellinzona, 2. April 2019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 - B. - Rechtsanwalt C.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