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BB.2019.67 vom 2. April 2019</w:t>
      </w:r>
    </w:p>
    <w:p>
      <w:r>
        <w:t>Bundesstrafgericht, 2019-04-02, DE</w:t>
      </w:r>
    </w:p>
    <w:p>
      <w:r>
        <w:rPr>
          <w:b/>
        </w:rPr>
        <w:t xml:space="preserve">Quelle: </w:t>
      </w:r>
      <w:r>
        <w:t>https://mcp.opencaselaw.ch/entscheid/bstger_BB.2019.67</w:t>
      </w:r>
    </w:p>
    <w:p>
      <w:r>
        <w:t>FR: TPF BB.2019.67 du 2 avril 2019</w:t>
      </w:r>
    </w:p>
    <w:p>
      <w:r>
        <w:t>IT: TPF BB.2019.67 del 2 aprile 2019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April 2019 Beschwerdekammer Besetzung</w:t>
      </w:r>
    </w:p>
    <w:p>
      <w:r>
        <w:t>Bundesstrafrichter Giorgio Bomio-Giovanascini,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BB.2019.67</w:t>
      </w:r>
    </w:p>
    <w:p>
      <w:r>
        <w:t>- 2 -</w:t>
      </w:r>
    </w:p>
    <w:p>
      <w:r>
        <w:t>Die Beschwerdekammer hält fest, dass:</w:t>
      </w:r>
    </w:p>
    <w:p>
      <w:r>
        <w:t>- A. am 20. November 2018 bei der Staatsanwaltschaft Abteilung 1 Luzern Strafantrag stellte gegen das «Bundesgericht, (…), vertreten durch unleser- lich im Schreiben vom 16. November 2018 und Bundesrichterin B. (…) und das Verwaltungsgericht des Kantons Bern unter Richter C.» wegen vorsätz- licher Irreführung der Rechtspflege, Prozessbetrugs, Unterstützung zum Be- trug bzw. Strafvereitelung im Amte, des Amtsmissbrauchs, des Rechtsmiss- brauchs, der Verstösse gegen die Art. 72 ff., Art. 74 Abs. 2 Ziff. a, Art. 76 ff., Art. 82 Ziff. a und b, Art. 90 ff., Art. 95 insbesondere Ziff. a und c, in Anwen- dung von Art. 97 ff. unter Berücksichtigung von Art. 117 bis Art. 119, Verstösse gegen Art. 119a, Art. 120, Art. 121 ff. sowie Art. 123 Abs. 2 Ziff. a ganz zu schweigen von den Verstössen gegen die Verfassung, Art. 7, Art. 8 und Art. 9 sowie Verstösse gegen Art. 6, Art. 14 der EMRK, begangen im Verfahren 9C_654/2018 insbesondere des letzten Schreibens vom 16. No- vember 2018;</w:t>
      </w:r>
    </w:p>
    <w:p>
      <w:r>
        <w:t>- die Staatsanwaltschaft Abteilung 1 Luzern am 22. November 2018 unter Hin- weis auf Art. 23 Abs. 1 lit. j StPO die Bundesanwaltschaft um Übernahme der Strafsache gegen B. ersuchte;</w:t>
      </w:r>
    </w:p>
    <w:p>
      <w:r>
        <w:t>- die Bundesanwaltschaft am 27. November 2018 die Übernahme des Verfah- rens bestätigte;</w:t>
      </w:r>
    </w:p>
    <w:p>
      <w:r>
        <w:t>- die Staatsanwaltschaft Abteilung 1 Luzern der Bundesanwaltschaft diesbe- züglich am 3. Januar 2019 und am 13. März 2019 weitere Eingaben von A. weiterleitete (vgl. zum Ganzen die Akten SV.18.1122);</w:t>
      </w:r>
    </w:p>
    <w:p>
      <w:r>
        <w:t>- die Bundesanwaltschaft am 18. März 2019 verfügte, die gegen B., C. und unbekannte Täterschaft gerichtete Strafanzeige werde nicht anhand genom- men (act. 1.1);</w:t>
      </w:r>
    </w:p>
    <w:p>
      <w:r>
        <w:t>- A. hiergegen mit undatierter Beschwerde (Postaufgabe am 21. März 2019) bei der Beschwerdekammer des Bundesstrafgerichts Beschwerde erhob, worin er hauptsächlich beantragt, die angefochtene Verfügung sei vollum- fänglich aufzuheben und die Sache zur Neubeurteilung an die Vorinstanz zurückzuweisen (act. 1);</w:t>
      </w:r>
    </w:p>
    <w:p>
      <w:r>
        <w:t>- die Bundesanwaltschaft der Beschwerdekammer auf entsprechende Auffor- derung hin die Verfahrensakten übermittelte (act. 2 und 3).</w:t>
      </w:r>
    </w:p>
    <w:p>
      <w:r>
        <w:t>- 3 -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das Urteil des Bundesgerichts 9C_654/2018 vom 30. Oktober 2018 Gegenstand und Auslöser der Strafanzeige bildet;</w:t>
      </w:r>
    </w:p>
    <w:p>
      <w:r>
        <w:t>- der Beschwerdeführer im Rahmen seiner Beschwerde hauptsächlich aus- führt, die Beschuldigten hätten ihr Amt missbraucht (act. 1, S. 1);</w:t>
      </w:r>
    </w:p>
    <w:p>
      <w:r>
        <w:t>- nach der Rechtsprechung zu Art. 312 StGB nur derjenige die Amtsgewalt missbraucht, welcher die Machtbefugnisse, die ihm sein Amt verleiht, un- rechtmässig anwendet, d. h. kraft seines Amtes verfügt oder Zwang ausübt, wo es nicht geschehen dürfte (BGE 127 IV 209 E. 1a und 1b S. 211 ff.; Urteil des Bundesgerichts 1C_584/2017 vom 1. Juni 2018 E. 3.2);</w:t>
      </w:r>
    </w:p>
    <w:p>
      <w:r>
        <w:t>- der Beschwerdeführer in Strafanzeige und Beschwerde ausführt, weshalb er mit dem erwähnten Urteil des Bundesgerichts nicht einverstanden ist, er da- bei aber nicht aufzeigt, inwiefern der Straftatbestand des Amtsmissbrauchs erfüllt sein soll, und er sich in seiner Beschwerde auch nicht mit den Erwä- gungen der Beschwerdegegnerin in der angefochtenen Verfügung auseinan- dersetzt;</w:t>
      </w:r>
    </w:p>
    <w:p>
      <w:r>
        <w:t>- auch die anderen in den verschiedenen Eingaben genannten Vorwürfe be- treffend den Ausführungen des Beschwerdeführers nicht entnommen wer- den kann, inwiefern der jeweilige Straftatbestand des Betrugs (Art. 146 StGB) oder der Irreführung der Rechtspflege (Art. 304 StGB) erfüllt sein soll;</w:t>
      </w:r>
    </w:p>
    <w:p>
      <w:r>
        <w:t>- 4 -</w:t>
      </w:r>
    </w:p>
    <w:p>
      <w:r>
        <w:t>- ein Teil der vom Beschwerdeführer erhobenen Vorwürfe zudem keine Straf- tatbestände darstellen (so z.B. Verstösse gegen verschiedene Verfahrens- bestimmungen);</w:t>
      </w:r>
    </w:p>
    <w:p>
      <w:r>
        <w:t>- sich die Beschwerde gegen die Nichtanhandnahmeverfügung nach dem Ge- sagten als offensichtlich unbegründet erweist, weshalb sie ohne weiteren Schriftenwechsel abzuweisen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diese festzusetzen sind auf das gesetzliche Minimum von Fr. 200.– (Art. 73 StBOG und Art. 5 und 8 Abs. 1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abgewiesen.</w:t>
      </w:r>
    </w:p>
    <w:p>
      <w:r>
        <w:t>2. Die Gerichtsgebühr von Fr. 200.– wird dem Beschwerdeführer auferlegt.</w:t>
      </w:r>
    </w:p>
    <w:p>
      <w:r>
        <w:t>Bellinzona, 2. April 2019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B., Bundesrichterin, II. sozialrechtliche Abteilung, c/o Bundesgericht Luzern - C., Verwaltungsrichter, Verwaltungsgericht des Kantons Bern, Sozialversi- cherungsrechtliche Abteilung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