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BB.2019.50 vom 14. Juni 2019</w:t>
      </w:r>
    </w:p>
    <w:p>
      <w:r>
        <w:t>Bundesstrafgericht, 2019-06-14, DE</w:t>
      </w:r>
    </w:p>
    <w:p>
      <w:r>
        <w:rPr>
          <w:b/>
        </w:rPr>
        <w:t xml:space="preserve">Quelle: </w:t>
      </w:r>
      <w:r>
        <w:t>https://mcp.opencaselaw.ch/entscheid/bstger_BB.2019.50</w:t>
      </w:r>
    </w:p>
    <w:p>
      <w:r>
        <w:t>FR: TPF BB.2019.50 du 14 juin 2019</w:t>
      </w:r>
    </w:p>
    <w:p>
      <w:r>
        <w:t>IT: TPF BB.2019.50 del 14 giugno 2019</w:t>
      </w:r>
    </w:p>
    <w:p>
      <w:pPr>
        <w:pStyle w:val="Heading2"/>
      </w:pPr>
      <w:r>
        <w:t>Regeste</w:t>
      </w:r>
    </w:p>
    <w:p>
      <w:r>
        <w:t>Nichtanhandnahmeverfügung (Art. 310 i.V.m. Art. 322 Abs. 2 StPO).</w:t>
      </w:r>
    </w:p>
    <w:p>
      <w:pPr>
        <w:pStyle w:val="Heading2"/>
      </w:pPr>
      <w:r>
        <w:t>Erwägungen</w:t>
      </w:r>
    </w:p>
    <w:p>
      <w:r>
        <w:rPr>
          <w:b/>
        </w:rPr>
        <w:t>E. 1.1</w:t>
      </w:r>
    </w:p>
    <w:p>
      <w:r>
        <w:t>Gegen eine von der Bundesanwaltschaft verfügte Nichtanhandnahme oder Einstellung eines Strafverfahrens können die Parteien bei der Beschwerde- kammer des Bundesstrafgerichts Beschwerde erheben (Art. 322 Abs. 2 StPO; Art. 310 Abs. 2 i.V.m. Art. 322 Abs. 2 StPO und Art. 37 Abs. 1 StBOG). Gemäss Art. 393 Abs. 2 StPO können mit der Beschwerde Rechtsverletzun- gen, einschliesslich Überschreitung und Missbrauch des Ermessens, Rechtsverweigerung und Rechtsverzögerung (lit. a), die unvollständige oder unrichtige Feststellung des Sachverhalts (lit. b) sowie die Unangemessen- heit (lit. c) gerügt werden.</w:t>
      </w:r>
    </w:p>
    <w:p>
      <w:r>
        <w:rPr>
          <w:b/>
        </w:rPr>
        <w:t>E. 1.2</w:t>
      </w:r>
    </w:p>
    <w:p>
      <w:r>
        <w:t>Zur Beschwerde legitimiert sind die Parteien, sofern sie ein rechtlich ge- schütztes Interesse an der Aufhebung oder Änderung des angefochtenen Entscheids haben (Art. 310 Abs. 2 i.V.m. Art. 322 Abs. 2 und Art. 382 Abs. 1 StPO). Die geschädigte Person ist grundsätzlich nur insoweit zur Be- schwerde legitimiert, als sie sich im Sinne der Art. 118 f. StPO als Privatklä- gerschaft konstituiert hat bzw. als sie noch keine Gelegenheit hatte, sich als Privatklägerschaft zu konstituieren (vgl. BGE 141 IV 380 E. 2.2 S. 383 m.w.H.; Beschluss des Bundesstrafgerichts BB.2016.24 vom 7. Juni 2016 E. 1.2 m.w.H.). Als Privatklägerschaft und somit als Partei des Strafverfah- rens (Art. 104 Abs. 1 lit. b StPO) gilt die geschädigte Person, die ausdrück- lich erklärt, sich am Strafverfahren als Straf- oder Zivilklägerin oder -kläger zu beteiligen (Art. 118 Abs. 1 StPO). Als geschädigte Person gilt die Person, die durch die Straftat in ihren Rechten unmittelbar verletzt worden ist (Art. 115 Abs. 1 StPO). Dies trifft auf Träger des durch die verletzte Straf- norm geschützten oder zumindest mitgeschützten Rechtsguts zu (BGE 140 IV 155 E. 3.2 m.w.H.). Im Zusammenhang mit Strafnormen, die nicht primär Individualrechtsgüter schützen, gelten praxisgemäss nur diejenigen Perso- nen als Geschädigte, die durch die darin umschriebenen Tatbestände in ih- ren Rechten beeinträchtigt werden, sofern diese Beeinträchtigung unmittel- bare Folge der tatbestandsmässigen Handlung ist. Bei Straftaten gegen kol- lektive Interessen reicht es für die Annahme der Geschädigtenstellung im Allgemeinen aus, dass das von der geschädigten Person angerufene Indivi- dualrechtsgut durch den Straftatbestand auch nur nachrangig oder als Ne-</w:t>
      </w:r>
    </w:p>
    <w:p>
      <w:r>
        <w:t>- 5 -</w:t>
      </w:r>
    </w:p>
    <w:p>
      <w:r>
        <w:t>benzweck geschützt wird. Werden durch Delikte, die (nur) öffentliche Inte- ressen verletzen, private Interessen auch, aber bloss mittelbar beeinträch- tigt, so ist der Betroffene nicht Geschädigter im Sinne von Art. 115 Abs. 1 StPO (BGE 141 IV 454 E. 2.3.1 m.w.H.; vgl. auch TPF 2013 164 E. 1.2 m.w.H.).</w:t>
      </w:r>
    </w:p>
    <w:p>
      <w:r>
        <w:t>Im Rahmen der Begründung gemäss Art. 385 Abs. 1 lit. b StPO muss der Beschwerdeführer auch die Tatsachen darlegen, aus denen sich namentlich seine Beschwerdeberechtigung ergeben soll, sofern dies nicht offensichtlich ist (Urteile des Bundesgerichts 1B_339/2016 vom 17. November 2016 E. 2.1; 1B_324/2016 vom 12. September 2016, E. 3.1 in fine; 1B_242/2015 vom 22. Oktober 2015 E. 4.2).</w:t>
      </w:r>
    </w:p>
    <w:p>
      <w:r>
        <w:rPr>
          <w:b/>
        </w:rPr>
        <w:t>E. 1.3</w:t>
      </w:r>
    </w:p>
    <w:p>
      <w:r>
        <w:t>Der angefochtenen Nichtanhandnahmeverfügung kann entnommen werden, dass sich der Beschwerdeführer als Privatkläger konstituiert hat (Verfahrens- akten BA Urk. 03-01-0001). Nachfolgend ist demnach zu untersuchen, ob und inwiefern er durch die von ihm zur Anzeige gebrachten Straftaten in eigenen Rechten unmittelbar verletzt worden ist bzw. ob er diese Straftaten betreffend überhaupt als Geschädigter im Sinne von Art. 115 Abs. 1 StPO gilt. Davon hängt nach dem Gesagten das Vorliegen bzw. der Umfang seiner Legitimation zur Erhebung der vorliegenden Beschwerde ab.</w:t>
      </w:r>
    </w:p>
    <w:p>
      <w:r>
        <w:rPr>
          <w:b/>
        </w:rPr>
        <w:t>E. 1.3.1</w:t>
      </w:r>
    </w:p>
    <w:p>
      <w:r>
        <w:t>Wie sich bereits aus der systematischen Einordnung von Art. 290 («Siegel- bruch») im fünfzehnten Titel des Strafgesetzbuches («Strafbare Handlungen gegen die öffentliche Gewalt», Art. 285 – 295 StGB) ergibt, soll mit dieser Norm die staatliche Autorität geschützt werden, die sich im amtlichen Zeichen manifestiert. Es soll damit nicht das Zeichen bzw. Siegel als solches, sondern die korrespondierende Verfügung geschützt werden (TRECHSEL/ VEST, in: Schweizerisches Strafgesetzbuch, Praxiskommentar, 3. Aufl. 2017, N. 1 zu Art. 290). Schutzobjekt der Bestimmung ist damit unmittelbar das öffentliche Interesse an der Aufrechterhaltung der staatlichen Autorität. Das Bundesgericht hatte in seinem Urteil 1P.600/2006 vom 21. Dezember 2006 zur Frage der Berufungslegitimation von Geschädigten, die sich auf eine Verletzung von Art. 292 StGB («Ungehorsam gegen amtliche Verfügungen») beriefen, festgehalten, diese Norm schütze unmittelbar die öffentlichen Interessen an der Aufrechterhaltung der Autorität. Dieser Schutz sei jedoch nicht Selbstzweck, sondern diene der Durchsetzung jener Interessen, um derentwillen die Verfügung erlassen worden sei. Sofern die Interessen privater Natur seien, sei die Geschädigteneigenschaft der benachteiligten Person anzuerkennen (E. 3.2). Gleiches muss – entgegen der Ansicht des Beschwerdegegners 2 – auch bei den anderen Ungehorsamstatbeständen, wie Bruch amtlicher Beschlagnahme (Art. 289 StGB) und Siegelbruch</w:t>
      </w:r>
    </w:p>
    <w:p>
      <w:r>
        <w:t>- 6 -</w:t>
      </w:r>
    </w:p>
    <w:p>
      <w:r>
        <w:t>(Art. 290 StGB), gelten (MAZZUCCHELLI/POSTIZZI, Basler Kommentar, 2. Aufl. 2014, N. 79 zu Art. 115 StPO in fine). Die Siegelung nach Art. 50 Abs. 3 VStrR und Art. 248 Abs. 1 StPO dient dem Schutz der Geheim- und Privatsphäre vor ungerechtfertigten staatlichen Eingriffen. Sie ist eine pro- zessuale Sofortmassnahme, mit der die Kenntnisnahme und Verwendung von Aufzeichnungen durch die Strafverfolgungsbehörde einstweilen ver- hindert wird (KELLER, in: Donatsch/Hansjakob/Lieber, StPO Kommentar,</w:t>
      </w:r>
    </w:p>
    <w:p>
      <w:r>
        <w:rPr>
          <w:b/>
        </w:rPr>
        <w:t>E. 1.3.2</w:t>
      </w:r>
    </w:p>
    <w:p>
      <w:r>
        <w:t>Der Straftatbestand des Amtsmissbrauchs schützt neben den Interessen des Staates direkt auch den Bürger vor dem missbräuchlichen Einsatz der Staatsgewalt durch Amtsträger. Deshalb ist der betroffene Bürger regelmäs- sig geschädigt (Urteil des Bundesgerichts 6B_761/2016 vom 16. Mai 2017</w:t>
      </w:r>
    </w:p>
    <w:p>
      <w:r>
        <w:t>- 7 -</w:t>
      </w:r>
    </w:p>
    <w:p>
      <w:r>
        <w:t>E. 3.4.2 m.w.H.). Der Beschwerdeführer führt nicht näher aus, worin seine Betroffenheit liegt. Eine solche ist auch nicht ersichtlich. Wie bereits erwähnt, war der Beschwerdeführer weder Inhaber der versiegelten Berichte noch machte er eigene gesetzlich geschützte Geheimnisrechte daran geltend. Eine Betroffenheit des Beschwerdeführers durch den geltend gemachten Amtsmissbrauch (Einsicht in die versiegelten Akten durch den Beschwerde- gegner 2) ist damit zu verneinen.</w:t>
      </w:r>
    </w:p>
    <w:p>
      <w:r>
        <w:rPr>
          <w:b/>
        </w:rPr>
        <w:t>E. 1.4</w:t>
      </w:r>
    </w:p>
    <w:p>
      <w:r>
        <w:t>Mangels Legitimation ist auf die Beschwerde nicht einzutreten.</w:t>
      </w:r>
    </w:p>
    <w:p>
      <w:r>
        <w:t>2. Bei diesem Ausgang des Verfahrens hat der Beschwerdeführer die Kosten zu tragen (Art. 428 Abs. 1 StPO). Die Gerichtsgebühr ist vorliegend auf Fr. 1’000.-- festzusetzen (Art. 73 StBOG und Art. 5 und 8 Abs. 1 BStKR). Wird das ausschliesslich vom Privatkläger erhobene Rechtsmittel abgewie- sen, hat er die durch die adäquate Wahrnehmung der Verfahrensrechte ent- standenen Verteidigungskosten der beschuldigten Person zu tragen (BGE 139 IV 45 E. 1; 138 IV 248 E. 5.1 und 5.3; Urteile des Bundesgerichts 6B_406/2017 vom 6. Juni 2017 E. 3; 6B_841/2013 vom 19. Mai 2014 E. 3.3.1). Der Beschwerdeführer hat dem Beschwerdegegner 2, der sich erst im Rahmen des zweiten Schriftenwechsels hat anwaltlich vertreten lassen, eine Entschädigung von ermessensweise pauschal Fr. 1'000.-- zu entrichten (inkl. MwSt.).</w:t>
      </w:r>
    </w:p>
    <w:p>
      <w:r>
        <w:t>- 8 -</w:t>
      </w:r>
    </w:p>
    <w:p>
      <w:r>
        <w:rPr>
          <w:b/>
        </w:rPr>
        <w:t>E. 2</w:t>
      </w:r>
    </w:p>
    <w:p>
      <w:r>
        <w:t>Aufl. 2014, N. 3 zu Art. 248). Nebst dem Inhaber ist jede Person, die unabhängig der Besitzverhältnisse ein rechtlich geschütztes Interesse an der Geheimhaltung des Inhalts der Aufzeichnungen haben kann, berechtigt, einen Antrag auf Siegelung zu verlangen (BGE 140 IV 28 E. 4.3). Erwirkt der Geheimnisschutzberechtigte die Siegelung von Aufzeichnungen oder Unterlagen, und wird das Siegel durch die nicht zuständige Behörde gebrochen, so sind dessen private Interessen durch den Siegelbruch unmittelbar und nicht bloss mittelbar betroffen. Vorliegend hat die Beschwerdekammer dem Beschwerdeführer im Entsiegelungsverfahren BE.2018.3 in Sachen EFD gegen Bank C. die Teilnahmerechte ab- gesprochen (vgl. Beschluss des Bundesstrafgerichts BE.2018.3 vom 13. September 2018 E. 3). Die dagegen vom Beschwerdeführer erhobene Beschwerde wies das Bundesgericht mit Urteil 1B_487/2018 vom</w:t>
      </w:r>
    </w:p>
    <w:p>
      <w:r>
        <w:rPr>
          <w:b/>
        </w:rPr>
        <w:t>E. 6</w:t>
      </w:r>
    </w:p>
    <w:p>
      <w:r>
        <w:t>Februar 2019 ab, weil der Beschwerdeführer weder Inhaber der versiegelten Berichte von der D. AG war, noch diese Berichte bei ihm ediert worden seien. Zudem habe er keine eigenen gesetzlich geschützten Geheimnisrechte geltend gemacht (E. 2.5 ff.). Der Beschwerdeführer hat damit weder die Siegelung der betreffenden Berichte von der D. AG erwirkt, noch hat er eigene gesetzlich geschützte Geheimnisrechte geltend gemacht. Folglich ist er durch einen allfälligen Siegelbruch in seinen privaten Rechten höchstens mittelbar betroffen, weshalb ihm mit Bezug auf das Delikt des Siegelbruchs im Sinne von Art. 290 StGB keine Geschädigtenstellung zukommt. Entsprechend ist er mit Bezug auf die Nichtanhandnahme der Strafuntersuchung im Zusammenhang mit dem Vorwurf des Siegelbruchs nicht zur Beschwerde legitimiert. Damit erübrigt es sich zu prüfen, ob die Auffassung der Bundesanwaltschaft, die blosse Umgehung des Siegels ohne Einwirkung auf das Zeichen sei nicht tatbestandsmässig, mit dem Schutzzweck von Art. 290 StGB vereinbar ist, wonach nicht das amtliche Zeichen als solches geschützt werden soll, sondern die mit diesem Zeichen verkörperte Verfügung (siehe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