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BB.2019.48 vom 21. März 2019</w:t>
      </w:r>
    </w:p>
    <w:p>
      <w:r>
        <w:t>Bundesstrafgericht, 2019-03-21, DE</w:t>
      </w:r>
    </w:p>
    <w:p>
      <w:r>
        <w:rPr>
          <w:b/>
        </w:rPr>
        <w:t xml:space="preserve">Quelle: </w:t>
      </w:r>
      <w:r>
        <w:t>https://mcp.opencaselaw.ch/entscheid/bstger_BB.2019.48</w:t>
      </w:r>
    </w:p>
    <w:p>
      <w:r>
        <w:t>FR: TPF BB.2019.48 du 21 mars 2019</w:t>
      </w:r>
    </w:p>
    <w:p>
      <w:r>
        <w:t>IT: TPF BB.2019.48 del 21 marzo 2019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 2014, Art. 386 StPO N. 4);</w:t>
      </w:r>
    </w:p>
    <w:p>
      <w:r>
        <w:t>- mithin das Verfahren BB.2019.48 zufolge Rückzugs des „Widerspruchs“ als erledigt abzuschreiben ist;</w:t>
      </w:r>
    </w:p>
    <w:p>
      <w:r>
        <w:t>- die Parteien die Kosten des Rechtmittelverfahrens nach Massgabe ihres Ob- siegens oder Unterliegens tragen; als unterliegend auch die Partei gilt, auf deren Rechtsmittel nicht eingetreten wird oder die das Rechtsmittel zurück- zieht (Art. 428 Abs. 1 StPO);</w:t>
      </w:r>
    </w:p>
    <w:p>
      <w:r>
        <w:t>- mithin die Beschwerdeführerin die Kosten dieses Verfahrens zu tragen hat;</w:t>
      </w:r>
    </w:p>
    <w:p>
      <w:r>
        <w:t>- die Gerichtsgebühr auf das gesetzliche Minimum von Fr. 200.-- festzusetzen ist (vgl. Art. 73 StBOG i.V.m. Art. 5 und Art. 8 Abs. 1 Reglement des Bun- desstrafgerichts vom 31. August 2010 über die Kosten, Gebühren und Ent- schädigungen in Bundesstrafverfahren [BStKR; SR 173.713.162]).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