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BB.2019.283 vom 8. April 2020</w:t>
      </w:r>
    </w:p>
    <w:p>
      <w:r>
        <w:t>Bundesstrafgericht, 2020-04-08, DE</w:t>
      </w:r>
    </w:p>
    <w:p>
      <w:r>
        <w:rPr>
          <w:b/>
        </w:rPr>
        <w:t xml:space="preserve">Quelle: </w:t>
      </w:r>
      <w:r>
        <w:t>https://mcp.opencaselaw.ch/entscheid/bstger_BB.2019.283</w:t>
      </w:r>
    </w:p>
    <w:p>
      <w:r>
        <w:t>FR: TPF BB.2019.283 du 8 avril 2020</w:t>
      </w:r>
    </w:p>
    <w:p>
      <w:r>
        <w:t>IT: TPF BB.2019.283 del 8 aprile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August 2016 zum gleichen angezeigten Sachverhalt festhielt, dass (wenn überhaupt) nur Vermögensdelikte nach Art. 137 ff. StGB, wie Verun- treuung nach Art. 138 StGB in Frage kämen, Straftaten der Artikel 137-141, 144, 160 und 172ter StGB nur dann der Bundesgerichtsbarkeit unterliegen, wenn sie Räumlichkeiten, Archive oder Schriftstücke diplomatischer Missio- nen und konsularischer Posten betreffen (Art. 23 Abs. 1 lit. b StPO); dies vorliegend nicht der Fall ist und andere die Bundesgerichtsbarkeit begrün- dende Handlungen nicht ersichtlich sind (vgl. Art. 23 und 24 StPO);</w:t>
      </w:r>
    </w:p>
    <w:p>
      <w:r>
        <w:t>- darauf im vorliegenden Verfahren ohne Weiteres verwiesen werden kann;</w:t>
      </w:r>
    </w:p>
    <w:p>
      <w:r>
        <w:t>- die Bundesanwaltschaft daher zu Recht keine Strafuntersuchung eröffnet hat;</w:t>
      </w:r>
    </w:p>
    <w:p>
      <w:r>
        <w:t>- sich die Beschwerde damit als offensichtlich unbegründet erweist, weshalb sie abzuweisen ist;</w:t>
      </w:r>
    </w:p>
    <w:p>
      <w:r>
        <w:t>- bei diesem Ausgang des Verfahrens die Beschwerdeführerin die Kosten zu tragen hat (Art. 428 Abs. 1 StPO);</w:t>
      </w:r>
    </w:p>
    <w:p>
      <w:r>
        <w:t>- die Gerichtsgebühr auf Fr. 200.-- festzusetzen ist (vgl. Art. 73 StBOG und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