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BB.2019.28-B vom 6. November 2019</w:t>
      </w:r>
    </w:p>
    <w:p>
      <w:r>
        <w:t>Bundesstrafgericht, 2019-11-06, FR</w:t>
      </w:r>
    </w:p>
    <w:p>
      <w:r>
        <w:rPr>
          <w:b/>
        </w:rPr>
        <w:t xml:space="preserve">Quelle: </w:t>
      </w:r>
      <w:r>
        <w:t>https://mcp.opencaselaw.ch/entscheid/bstger_BB.2019.28-B</w:t>
      </w:r>
    </w:p>
    <w:p>
      <w:r>
        <w:t>FR: TPF BB.2019.28-B du 6 novembre 2019</w:t>
      </w:r>
    </w:p>
    <w:p>
      <w:r>
        <w:t>IT: TPF BB.2019.28-B del 6 novembre 2019</w:t>
      </w:r>
    </w:p>
    <w:p>
      <w:pPr>
        <w:pStyle w:val="Heading2"/>
      </w:pPr>
      <w:r>
        <w:t>Regeste</w:t>
      </w:r>
    </w:p>
    <w:p>
      <w:r>
        <w:t>Reprise de la procédure de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CONFÉDÉRATION,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6 novembre 2019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Grégoire Mangeat, avocat - Ministère public de la Confédération - Me Jacques Barillon, avocat (avec copie du courrier de Me Mangeat du 30 octobre 2019 et de son annexe) - Cour des affaires pénales du Tribunal pénal fédéral (avec copie du courrier de Me Mangeat du 30 octobre 2019 et de son annexe) (brevi manu)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