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BB.2019.279 vom 13. August 2020</w:t>
      </w:r>
    </w:p>
    <w:p>
      <w:r>
        <w:t>Bundesstrafgericht, 2020-08-13, DE</w:t>
      </w:r>
    </w:p>
    <w:p>
      <w:r>
        <w:rPr>
          <w:b/>
        </w:rPr>
        <w:t xml:space="preserve">Quelle: </w:t>
      </w:r>
      <w:r>
        <w:t>https://mcp.opencaselaw.ch/entscheid/bstger_BB.2019.279</w:t>
      </w:r>
    </w:p>
    <w:p>
      <w:r>
        <w:t>FR: TPF BB.2019.279 du 13 août 2020</w:t>
      </w:r>
    </w:p>
    <w:p>
      <w:r>
        <w:t>IT: TPF BB.2019.279 del 13 agosto 2020</w:t>
      </w:r>
    </w:p>
    <w:p>
      <w:pPr>
        <w:pStyle w:val="Heading2"/>
      </w:pPr>
      <w:r>
        <w:t>Regeste</w:t>
      </w:r>
    </w:p>
    <w:p>
      <w:r>
        <w:t>Akteneinsicht (Art. 101 f. i.V.m. Art. 107 Abs. 1 lit. a StPO). Geheimhaltungspflicht (Art. 73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w:t>
      </w:r>
    </w:p>
    <w:p>
      <w:r>
        <w:t>- 7 -</w:t>
      </w:r>
    </w:p>
    <w:p>
      <w:r>
        <w:t>und Missbrauch des Ermessens, Rechtsverweigerung und Rechtsverzöge- rung (lit. a), die unvollständige oder unrichtige Feststellung des Sachverhalts (lit. b) sowie die Unangemessenheit (lit. c).</w:t>
      </w:r>
    </w:p>
    <w:p>
      <w:r>
        <w:rPr>
          <w:b/>
        </w:rPr>
        <w:t>E. 1.2</w:t>
      </w:r>
    </w:p>
    <w:p>
      <w:r>
        <w:t>Der Beschwerdeführer macht sinngemäss geltend, die angefochtene Verfü- gung verletze seinen Anspruch auf Akteneinsicht. Zudem wehrt er sich mit der Beschwerde gegen die ihm auferlegte Geheimhaltungspflicht nach Art. 73 Abs. 2 StPO. Als durch Verfahrenshandlungen beschwerter Dritter im Sinne von Art. 105 Abs. 1 lit. f StPO ist er durch beide Teilgehalte der ange- fochtenen Verfügung betroffen und somit zur Beschwerdeführung legitimiert (vgl. die Beschlüsse des Bundesstrafgerichts BB.2019.187 vom 3. März 2020 E. 1.3 [Akteneinsicht] und BB.2018.50 vom 20. Juni 2018 E. 1.2 [Ge- heimhaltungspflicht]). Auf dessen frist- und formgerecht eingereichte Be- schwerde ist einzutreten.</w:t>
      </w:r>
    </w:p>
    <w:p>
      <w:r>
        <w:rPr>
          <w:b/>
        </w:rPr>
        <w:t>E. 2</w:t>
      </w:r>
    </w:p>
    <w:p>
      <w:r>
        <w:t>Der Beschwerdeführer macht geltend, die Begründung der angefochtenen Verfügung sei ungenügend, was eine Verletzung seines Anspruchs auf rechtliches Gehör darstelle (act. 1, Rz. 29 ff.). Eine solche ist vorliegend je- doch nicht zu erkennen. Ob die in der angefochtenen Verfügung erwähnten und vom Beschwerdeführer selber wiederholten und kritisierten Überlegun- gen inhaltlich zu überzeugen vermögen, ist keine Frage des rechtlichen Ge- hörs, sondern ihrer materiellen Beurteilung.</w:t>
      </w:r>
    </w:p>
    <w:p>
      <w:r>
        <w:rPr>
          <w:b/>
        </w:rPr>
        <w:t>E. 3.1</w:t>
      </w:r>
    </w:p>
    <w:p>
      <w:r>
        <w:t>Die vorliegend umstrittenen Schwärzungen von Teilen der Akten betreffen ausschliesslich die Eingabe des Beschwerdegegners 2 vom 27. Dezem- ber 2017. Diese erfolgte in einer Phase des Verfahrens SV.17.1581, in wel- cher dieses als abgekürztes Verfahren nach den Bestimmungen von Art. 358 ff. StPO geführt wurde. Nach Beendigung des abgekürzten Verfah- rens entfernte die Beschwerdegegnerin 1 diese Eingabe mit Verfügung vom 29. Juli 2019 aus den Akten des Verfahrens und ordnete an, diese werde bis zum rechtskräftigen Abschluss des Verfahrens unter separatem Verschluss gehalten (act. 1.4 und 3.8). Aufgrund des entsprechenden Einverständnisses des Beschwerdegegners 2 wurde die entsprechende Eingabe mit der ange- fochtenen Verfügung mit teilweiser Schwärzung (neu) zu den Akten genom- men. Die Beschwerdegegnerin 1 geht in der angefochtenen Verfügung of- fenbar davon aus, es handle sich bei den Schwärzungen um Einschränkun- gen des Rechts auf Akteneinsicht im Sinne von Art. 108 Abs. 1 lit. b StPO</w:t>
      </w:r>
    </w:p>
    <w:p>
      <w:r>
        <w:t>- 8 -</w:t>
      </w:r>
    </w:p>
    <w:p>
      <w:r>
        <w:t>(vgl. act. 1.2, Rz. 10 ff.). Entsprechend rügt der Beschwerdeführer im Rah- men seiner Beschwerde diesbezüglich eine Verletzung der Bestimmungen zur Akteneinsicht und deren Einschränkung (act. 1, Rz. 33 ff.).</w:t>
      </w:r>
    </w:p>
    <w:p>
      <w:r>
        <w:rPr>
          <w:b/>
        </w:rPr>
        <w:t>E. 3.2</w:t>
      </w:r>
    </w:p>
    <w:p>
      <w:r>
        <w:t>Vorbedingung des aus dem grundrechtlichen Anspruch auf rechtliches Ge- hör abgeleiteten Akteneinsichtsrechts ist das Bestehen von Akten sowie de- ren vollständige und korrekte Führung (TPF 2016 114 E. 3.3 mit Hinweis auf SCHMUTZ, Basler Kommentar, 2. Aufl. 2014, Art. 100 StPO N. 1). Für jede Strafsache wird gemäss Art. 100 Abs. 1 StPO ein Aktendossier angelegt. Dieses enthält die Verfahrens- und die Einvernahmeprotokolle (lit. a), die von der Strafbehörde zusammengetragenen Akten (lit. b) und die von den Par- teien eingereichten Akten (lit. c).</w:t>
      </w:r>
    </w:p>
    <w:p>
      <w:r>
        <w:rPr>
          <w:b/>
        </w:rPr>
        <w:t>E. 3.3</w:t>
      </w:r>
    </w:p>
    <w:p>
      <w:r>
        <w:t>Gemäss Art. 362 Abs. 4 StPO sind demgegenüber Erklärungen, die von den Parteien im Hinblick auf das abgekürzte Verfahren abgegeben worden sind, nach der Ablehnung eines Urteils im abgekürzten Verfahren in einem folgen- den ordentlichen Verfahren nicht verwertbar. Diese Bestimmung ist sinnge- mäss anwendbar, wenn das bereits eingeleitete abgekürzte Verfahren – wie im vorliegenden Fall – noch vor der gerichtlichen Beurteilung beendet wird (BGE 144 IV 189 E. 5.2.2 m.w.H.). Art. 362 Abs. 4 StPO statuiert einen ge- setzlichen Fall der Unverwertbarkeit eines Beweises im Sinne von Art. 141 Abs. 1 zweiter Satz StPO. Demzufolge ist Art. 141 Abs. 5 StPO auf die von Art. 362 Abs. 4 StPO betroffenen Urkunden anwendbar (BGE 144 IV 189 E. 5.2.3). Somit werden diese aus den Strafakten entfernt, bis zum rechts- kräftigen Abschluss des Verfahrens unter separatem Verschluss gehalten und danach vernichtet.</w:t>
      </w:r>
    </w:p>
    <w:p>
      <w:r>
        <w:rPr>
          <w:b/>
        </w:rPr>
        <w:t>E. 3.4</w:t>
      </w:r>
    </w:p>
    <w:p>
      <w:r>
        <w:t>Nach dem Gesagten handelt es sich bei den geschwärzten Teilen der Ein- gabe vom 27. Dezember 2017 bzw. einer von deren Beilagen um Unterla- gen, welche mit Verfügung vom 29. Juli 2019 gestützt auf Art. 362 Abs. 4 StPO aus den Strafakten entfernt wurden. Diese Verfügung blieb soweit er- sichtlich unangefochten. Daher können sie nunmehr auch nicht mehr Ge- genstand einer Akteneinsicht im Sinne der Art. 101 ff. StPO sein. Damit die Eingabe vom 27. Dezember 2017 und deren Beilagen auch im ordentlichen Verfahren verwertet werden können, ersuchte die Beschwerdegegnerin 1 den Beschwerdegegner 2 ebenfalls am 29. Juli 2019 um deren erneute Ein- reichung oder um Bestätigung, dass er mit deren Verwertung auch im or- dentlichen Verfahren einverstanden ist (act. 3.9). Der Beschwerdegegner 2 erklärte sich – unter Vorbehalt gewisser Passagen in der Eingabe vom 27. Dezember 2017 und einer Beilage – mit deren Verwertung einverstan- den. Ohne dieses Einverständnis käme die Verwertung der Eingabe mitsamt</w:t>
      </w:r>
    </w:p>
    <w:p>
      <w:r>
        <w:t>- 9 -</w:t>
      </w:r>
    </w:p>
    <w:p>
      <w:r>
        <w:t>den Beilagen nicht in Betracht. Es wäre dem Beschwerdegegner 2 auch frei- gestanden, eine neue Eingabe ohne die entsprechenden Passagen und Bei- lage einzureichen. Dass die ungeschwärzten Teile der und die ungeschwärz- ten Beilagen zur Eingabe vom 27. Dezember 2017 nun Bestandteile der Ak- ten im ordentlichen Verfahren bilden, ist auf das Einverständnis des Be- schwerdegegners 2 zu deren Verwertung im ordentlichen Verfahren zurück- zuführen. Als Beschuldigtem steht diesem das Recht zu, sich im Strafverfah- ren frei zu äussern. Dieses Vorgehen ist nicht zu beanstanden. Die ge- schwärzten Informationen hingegen bilden gestützt auf Art. 362 Abs. 4 StPO nicht mehr Teil der Strafakten und unterliegen daher nicht den Bestimmun- gen zur Akteneinsicht oder deren Einschränkung. Die Beschwerde erweist sich in diesem Punkt als unbegründet.</w:t>
      </w:r>
    </w:p>
    <w:p>
      <w:r>
        <w:rPr>
          <w:b/>
        </w:rPr>
        <w:t>E. 4.1</w:t>
      </w:r>
    </w:p>
    <w:p>
      <w:r>
        <w:t>Mit der angefochtenen Verfügung wurde dem Beschwerdeführer und seiner Rechtsvertretung zudem unter Strafandrohung nach Art. 292 StGB und bis 31. Dezember 2020 untersagt, die vom Beschwerdegegner 2 im Rahmen des abgekürzten Verfahrens eingereichten (und auch im ordentlichen Ver- fahren verwertbaren) Eingaben ausserhalb des vorliegenden Verfahrens zu verwenden. Das entsprechende Verbot erfolgte zur Vermeidung der Verei- telung und Umgehung der Rechtshilfe (act. 1.2, Rz. 15 ff.). Der Beschwerde- führer rügt diesbezüglich eine Verletzung von Art. 73 Abs. 2 StPO (act. 1, Rz. 33 ff.).</w:t>
      </w:r>
    </w:p>
    <w:p>
      <w:r>
        <w:rPr>
          <w:b/>
        </w:rPr>
        <w:t>E. 4.2</w:t>
      </w:r>
    </w:p>
    <w:p>
      <w:r>
        <w:t>Gemäss Art. 73 Abs. 2 StPO kann die Verfahrensleitung die Privatkläger- schaft und andere Verfahrensbeteiligte und deren Rechtsbeistände unter Hinweis auf Art. 292 StGB verpflichten, über das Verfahren und die davon betroffenen Personen Stillschweigen zu bewahren, wenn der Zweck des Verfahrens oder ein privates Interesse es erfordert. Die Verpflichtung ist zu befristen. Von der förmlichen Auferlegung einer strafbewehrten Stillschwei- geverpflichtung an Parteien und ihre Rechtsvertreter zur Wahrung des Ver- fahrenszweckes oder privater Interessen ist nur mit Zurückhaltung und in ausreichend begründeten Fällen Gebrauch zu machen (Urteile des Bundes- gerichts 1B_435/2019 vom 16. Januar 2020 E. 3.1; 1B_315/2014 vom 11. Mai 2015 E. 4.3).</w:t>
      </w:r>
    </w:p>
    <w:p>
      <w:r>
        <w:t>- 10 -</w:t>
      </w:r>
    </w:p>
    <w:p>
      <w:r>
        <w:rPr>
          <w:b/>
        </w:rPr>
        <w:t>E. 4.3</w:t>
      </w:r>
    </w:p>
    <w:p>
      <w:r>
        <w:t>In den von der Stillschweigeverpflichtung betroffenen Dokumenten äussert sich der Beschwerdegegner 2 verschiedentlich konkret zu Gegenstand der Strafuntersuchung bildenden Finanztransaktionen. In den Akten befinden sich Rechtshilfeersuchen des U.S. Department of Justice, mit welchen nebst anderem um Herausgabe von Unterlagen zu auf den Beschwerdegegner 2 bzw. auf diesem zuzurechnende Gesellschaften lautenden Konten ersucht wird (Akten SV.17.1581, pag. 18.201-0003 ff., 18.201-0060 f.). Den Akten ist jedoch nirgends zu entnehmen, ob das den Beschwerdegegner 2 betref- fende Rechtshilfeverfahren zwischenzeitlich erledigt ist oder nicht. Die in der angefochtenen Verfügung erwähnten übrigen Hinweise auf «verschiedene Strafverfahren» im Ausland erweisen sich zudem als vage. Es ist bei dieser Ausgangslage dennoch plausibel, dass die vom Beschwerdegegner 2 im vorliegenden Verfahren gemachten Aussagen auch im durch die Strafverfol- gungsbehörden der USA geführten Verfahren von Relevanz sein können. Würden die betroffenen Unterlagen ins in den USA geführte Verfahren ein- fliessen, bevor das schweizerische Rechtshilfeverfahren abgeschlossen ist, so könnte dies eine Umgehung des hierzulande geführten Rechtshilfever- fahrens und damit eine Vereitelung des dem Beschwerdegegner 2 zustehen- den Rechtsschutzes zur Folge haben. Es besteht damit auf Seiten des Be- schwerdegegners 2 ein privates Interesse, welches ein den anderen Par- teien und Verfahrensbeteiligten auferlegtes und bis 31. Dezember 2020 be- fristetes Verbot der Verwendung dieser Unterlagen ausserhalb des hierzu- lande geführten Strafverfahrens zu rechtfertigen vermag. Bei der Abwägung der entsprechenden Interessen ist auch zu berücksichtigen, dass die betref- fenden Unterlagen dem Beschwerdeführer im Rahmen des vorliegenden Strafverfahrens vollumfänglich und ohne Einschränkungen zur Verfügung stehen. Ein Interesse auf Seiten des Beschwerdeführers an einer Verwen- dung dieser Unterlagen ausserhalb des vorliegenden Verfahrens ist demge- genüber weder dargetan noch ersichtlich. Die Beschwerde erweist sich da- mit auch in diesem Punkt als unbegründet.</w:t>
      </w:r>
    </w:p>
    <w:p>
      <w:r>
        <w:rPr>
          <w:b/>
        </w:rPr>
        <w:t>E. 5</w:t>
      </w:r>
    </w:p>
    <w:p>
      <w:r>
        <w:t>Nach dem Gesagten erweist sich die Beschwerde in all ihren Punkten als unbegründet. Sie ist abzuweisen.</w:t>
      </w:r>
    </w:p>
    <w:p>
      <w:r>
        <w:rPr>
          <w:b/>
        </w:rPr>
        <w:t>E. 6</w:t>
      </w:r>
    </w:p>
    <w:p>
      <w:r>
        <w:t>Dem Ausgang des Verfahrens entsprechend sind die Gerichtskosten dem mit seinen Anträgen unterliegenden Beschwerdeführer aufzuerlegen (Art. 428 Abs. 1 StPO). Die Gerichtsgebühr ist festzusetzen auf Fr. 2’000.– (vgl. Art. 73 StBOG und Art. 5 und 8 Abs. 1 des Reglements des Bun- desstrafgerichts vom 31. August 2010 über die Kosten, Gebühren und Ent- schädigungen in Bundesstrafverfahren [BStKR; SR 173.713.162]).</w:t>
      </w:r>
    </w:p>
    <w:p>
      <w:r>
        <w:t>- 11 -</w:t>
      </w:r>
    </w:p>
    <w:p>
      <w:r>
        <w:rPr>
          <w:b/>
        </w:rPr>
        <w:t>E. 7</w:t>
      </w:r>
    </w:p>
    <w:p>
      <w:r>
        <w:t>Wird das ausschliesslich von der oder dem durch Verfahrenshandlungen be- schwerten Dritten erhobene Rechtsmittel abgewiesen, hat sie oder er die durch die adäquate Wahrnehmung der Verfahrensrechte entstandenen Ver- teidigungskosten der beschuldigten Person zu tragen (vgl. zur analogen Si- tuation der unterliegenden Privatklägerschaft das Urteil des Bundesgerichts 6B_273/2017 vom 17. März 2017 E. 2 m.w.H.). Die Entschädigung ist pau- schal auf Fr. 1'000.– festzusetzen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