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BB.2019.27 vom 8. Mai 2019</w:t>
      </w:r>
    </w:p>
    <w:p>
      <w:r>
        <w:t>Bundesstrafgericht, 2019-05-08, FR</w:t>
      </w:r>
    </w:p>
    <w:p>
      <w:r>
        <w:rPr>
          <w:b/>
        </w:rPr>
        <w:t xml:space="preserve">Quelle: </w:t>
      </w:r>
      <w:r>
        <w:t>https://mcp.opencaselaw.ch/entscheid/bstger_BB.2019.27</w:t>
      </w:r>
    </w:p>
    <w:p>
      <w:r>
        <w:t>FR: TPF BB.2019.27 du 8 mai 2019</w:t>
      </w:r>
    </w:p>
    <w:p>
      <w:r>
        <w:t>IT: TPF BB.2019.27 del 8 maggio 2019</w:t>
      </w:r>
    </w:p>
    <w:p>
      <w:pPr>
        <w:pStyle w:val="Heading2"/>
      </w:pPr>
      <w:r>
        <w:t>Regeste</w:t>
      </w:r>
    </w:p>
    <w:p>
      <w:r>
        <w:t>Actes de procédure de la Cour des affaires pénales (art. 20 al. 1 let. a en lien avec l'art. 393 al. 1 let. b CPP). Effet suspensif (art. 387 CPP). Retrait du recours (art. 386 CPP).</w:t>
      </w:r>
    </w:p>
    <w:p>
      <w:pPr>
        <w:pStyle w:val="Heading2"/>
      </w:pPr>
      <w:r>
        <w:t>Erwägungen</w:t>
      </w:r>
    </w:p>
    <w:p>
      <w:r>
        <w:rPr>
          <w:b/>
        </w:rPr>
        <w:t>E. 11</w:t>
      </w:r>
    </w:p>
    <w:p>
      <w:r>
        <w:t>mars 2013);</w:t>
      </w:r>
    </w:p>
    <w:p>
      <w:r>
        <w:t>qu’il y a ainsi lieu de prendre acte du retrait du recours;</w:t>
      </w:r>
    </w:p>
    <w:p>
      <w:r>
        <w:t>que la cause est partant rayée du rôle;</w:t>
      </w:r>
    </w:p>
    <w:p>
      <w:r>
        <w:t>que les frais de la procédure de recours sont mis à la charge des parties dans la mesure où elles ont obtenu gain de cause ou succombé, la partie dont le recours est irrecevable ou qui retire le recours étant également considérée avoir succombé (art. 428 al. 1 CPP);</w:t>
      </w:r>
    </w:p>
    <w:p>
      <w:r>
        <w:t>que la recourante ayant finalement retiré son recours, elle est considérée avoir succombé et doit supporter les frais y relatifs;</w:t>
      </w:r>
    </w:p>
    <w:p>
      <w:r>
        <w:t>que l’on ne saurait considérer que le recours retiré au présent stade de la procédure – soit à l’issue de l’échange d’écritures et dès lors au stade final de la procédure – soit sans conséquence du point de vue des frais occasionnés à l’Etat;</w:t>
      </w:r>
    </w:p>
    <w:p>
      <w:r>
        <w:t>que ces derniers s’élèveront en l’espèce à CHF 1'500.-- (v. art. 5 et 8 al. 1</w:t>
      </w:r>
    </w:p>
    <w:p>
      <w:r>
        <w:t>- 5 -</w:t>
      </w:r>
    </w:p>
    <w:p>
      <w:r>
        <w:t>du règlement du Tribunal pénal fédéral sur les frais, émoluments, dépens et indemnités de la procédure pénale fédérale [RFPPF; RS 173.713.162] et 73 al. 2 LOAP);</w:t>
      </w:r>
    </w:p>
    <w:p>
      <w:r>
        <w:t>que par ailleurs dans sa réponse du 20 février 2019, B. a conclu au rejet du recours et à l’allocation au défenseur d’office d’une indemnité selon décompte des prestations joint (act. 4 et 4.2);</w:t>
      </w:r>
    </w:p>
    <w:p>
      <w:r>
        <w:t>que dans la mesure où le recours devient sans objet et la recourante est considérée avoir succombé, B. a obtenu gain de cause de sorte qu’il a droit à une indemnité pour les dépenses occasionnées par l’exercice raisonnable de ses droits de procédure dans ce contexte (art. 433 al. 1 let. a CPP, applicable par renvoi de l’art. 436 al. 1 CPP; décisions du Tribunal pénal fédéral BB.2018.23 du 11 avril 2018; BB.2015.124 du 12 septembre 2016 et BB.2014.63 du 20 juin 2014);</w:t>
      </w:r>
    </w:p>
    <w:p>
      <w:r>
        <w:t>que selon l’art. 12 al. 1 RFPPF, les honoraires sont fixés en fonction du temps effectivement consacré à la cause et nécessaire à la défense de la partie représentée, le tarif horaire s’élevant à CHF 200.-- au minimum et à 300.-- au maximum, étant précisé qu’en règle général le tarif appliqué par la Cour de céans est de CHF 230.-- par heure (décision du Tribunal pénal fédéral BH.2012.3 du 6 mars 2012 consid. 10.1 et référence citée);</w:t>
      </w:r>
    </w:p>
    <w:p>
      <w:r>
        <w:t>qu’à l’appui de sa réponse B. a fait parvenir le décompte de ses prestations pour la présente procédure, lequel fait état de 1.25 heure de travail au tarif horaire de 300.--;</w:t>
      </w:r>
    </w:p>
    <w:p>
      <w:r>
        <w:t>qu’il convient d’appliquer le tarif horaire de CHF 230.-- retenu jusqu’à présent par la Cour de céans, de sorte que l’indemnité est arrêtée à CHF 287.50 (230.-- x 1.25), TVA (7,7% en sus), soit un total de CHF 309.65, à la charge de la recourante;</w:t>
      </w:r>
    </w:p>
    <w:p>
      <w:r>
        <w:t>que la demande d’effet suspensif devient dès lors également sans objet.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