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BB.2019.269 vom 5. Februar 2020</w:t>
      </w:r>
    </w:p>
    <w:p>
      <w:r>
        <w:t>Bundesstrafgericht, 2020-02-05, DE</w:t>
      </w:r>
    </w:p>
    <w:p>
      <w:r>
        <w:rPr>
          <w:b/>
        </w:rPr>
        <w:t xml:space="preserve">Quelle: </w:t>
      </w:r>
      <w:r>
        <w:t>https://mcp.opencaselaw.ch/entscheid/bstger_BB.2019.269</w:t>
      </w:r>
    </w:p>
    <w:p>
      <w:r>
        <w:t>FR: TPF BB.2019.269 du 5 février 2020</w:t>
      </w:r>
    </w:p>
    <w:p>
      <w:r>
        <w:t>IT: TPF BB.2019.269 del 5 febbraio 2020</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Die Strafkammer bringt vor, eine Substitution der amtlichen Verteidigung sei nur mit Zustimmung der Verfahrensleitung zulässig (Art. 134 StPO). Der amtliche Verteidiger sei kein Verfahrensbeteiligter i.S. von Art. 127 Abs. 1 StPO, der eine Vertretung bestellen könne. Und selbst wenn, es mute eigen- artig an, wenn ein erfahrener Strafverteidiger sich nicht in der Lage sehe, seinen Entschädigungsentscheid selbst anzufechten. Dies sei von Amtes wegen zu prüfen (act. 3 S. 1).</w:t>
      </w:r>
    </w:p>
    <w:p>
      <w:r>
        <w:rPr>
          <w:b/>
        </w:rPr>
        <w:t>E. 1.3</w:t>
      </w:r>
    </w:p>
    <w:p>
      <w:r>
        <w:t>Der amtliche Verteidiger hat ein eigenes Recht, gegen seine Entschädigung Beschwerde zu führen. Dies ist nicht Teil des amtlichen Mandates und wird nicht in diesem Rahmen abgerechnet oder entschädigt. Eine Erlaubnis im öffentlichen Recht, sich vertreten zu lassen (Art. 33 Abs. 1 OR; ZÄCH, Berner Kommentar zum Obligationenrecht, 2. Aufl. 2014, Art. 33 N. 26, 3 mit Ver- weis auf Art. 33 Abs. 2 OR), liegt nicht vor und eine solche braucht es auch nicht. Es gilt die Vertretungsfreiheit (namentlich Art. 33 Abs. 2 OR i.V.m. Art. 396 Abs. 2 OR). Die Vertretung bei vermögensrechtlichen Ansprüchen ist auch nicht höchstpersönlich oder vertretungsfeindlich. Während die Stell- vertretung ebenso wenig begründet werden muss, ist es doch nachvollzieh- bar, nicht in eigener Sache prozessieren zu wollen. Die Vertretung hat übri- gens auch keine grosse Auswirkung auf die Höhe einer allfälligen Entschä- digung, da die Beschwerdekammer sie auch pro se prozessierenden Anwäl- ten zuspricht. Der Einwand ist unbegründet.</w:t>
      </w:r>
    </w:p>
    <w:p>
      <w:r>
        <w:rPr>
          <w:b/>
        </w:rPr>
        <w:t>E. 1.4</w:t>
      </w:r>
    </w:p>
    <w:p>
      <w:r>
        <w:t>Der Beschwerdeführer erhielt von der Vorinstanz als amtlicher Verteidiger eine tiefere Entschädigung zugesprochen, als er beantragt hatte. Er ist zur</w:t>
      </w:r>
    </w:p>
    <w:p>
      <w:r>
        <w:t>- 5 -</w:t>
      </w:r>
    </w:p>
    <w:p>
      <w:r>
        <w:t>vorliegenden Beschwerde legitimiert. Auf die auch frist- und formgerecht ein- gereichte Beschwerde ist einzutreten.</w:t>
      </w:r>
    </w:p>
    <w:p>
      <w:r>
        <w:rPr>
          <w:b/>
        </w:rPr>
        <w:t>E. 2</w:t>
      </w:r>
    </w:p>
    <w:p>
      <w:r>
        <w:t>Die urteilende Instanz muss sich nicht mit allen Parteistandpunkten einläss- lich auseinandersetzen. Sie kann sich auf die für ihren Entscheid wesentli- chen Punkte beschränken, und es genügt, wenn die Behörde wenigstens kurz die Überlegungen nennt, von denen sie sich leiten liess und auf welche sich ihr Entscheid stützt (BGE 145 IV 99 E. 3.1; 141 IV 249 E. 1.3.1; 139 IV 179 E. 2.2; Urteil des Bundesgerichts 1C_143/2016 vom 2. Mai 2016 E. 2).</w:t>
      </w:r>
    </w:p>
    <w:p>
      <w:r>
        <w:rPr>
          <w:b/>
        </w:rPr>
        <w:t>E. 3.1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w:t>
      </w:r>
    </w:p>
    <w:p>
      <w:r>
        <w:t>- 6 -</w:t>
      </w:r>
    </w:p>
    <w:p>
      <w:r>
        <w:t>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 zusammen als einheitliches Ganzes aufgefasst und der effektive Zeitauf- wand lediglich im Rahmen des Tarifansatzes berücksichtigt. Pauschalen 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 betrag ausgerichtet hatte, zutreffend von einer Beurteilung der einzelnen Po- sitionen der eingereichten Honorarrechnung absehen konnte (BGE 143 IV 453 E. 2.5.1; 141 I 124 E. 4.5 S. 129).</w:t>
      </w:r>
    </w:p>
    <w:p>
      <w:r>
        <w:rPr>
          <w:b/>
        </w:rPr>
        <w:t>E. 3.2</w:t>
      </w:r>
    </w:p>
    <w:p>
      <w:r>
        <w:t>Die Honorarnote von Rechtsanwalt A. vom 21. Oktober 2019 schlüsselt sei- nen Aufwand von Fr. 20'821.-- auf (pag. 465). Er legt transparent seinen zeit- lichen Aufwand für jede einzelne Tätigkeit dar. Im Beschwerdeverfahren stellte er seine Bemühungen zudem pro Kategorie (Besprechungen/Kon- takte, Berufungsbegründung; Berufungsantworten, Vorbereitung Verhand- lung etc.) inkl. der Teilsummen zusammen (act. 1.4). Er verrechnet insge- samt 94.35 Stunden. Dazu kommen nicht einzeln ausgewiesene Auslagen. Prozessual fiel im umfangreichen Schriftenwechsel die Erklärung und Be- gründung der Berufung, die Berufungsantwort und Reaktion auf die Einga- ben der Gegenparteien sowie die Berufungsverhandlung an. Grobthema- tisch ging es um die Erfüllung und Qualifikation des Tötungsdeliktes, ob sich der Beschuldigte weiterer Straftatbestände schuldig gemacht habe, die</w:t>
      </w:r>
    </w:p>
    <w:p>
      <w:r>
        <w:t>- 7 -</w:t>
      </w:r>
    </w:p>
    <w:p>
      <w:r>
        <w:t>Strafzumessung sowie die Frage einer Verwahrung. Weiter ging es um Ein- ziehungen, Zivilansprüche und die Kosten. Die Strafkammer begründet die Entschädigung des Verteidigers im Urteil vom 21. Oktober 2019 wie folgt (act. 1.2 Ziff. 10.1.2. S. 84 f.): Der amtliche Verteidiger sei aus dem Verfahren vor Bezirksgericht mit den tatsächlichen und rechtlichen Fragen wohlvertraut. Er selbst sei für dieses denn auch mit sehr hohen Fr. 37'000.-- (für 163.83h) entschädigt worden. Er habe im Beru- fungsverfahren keine neue Taktik verfolgen müssen, sondern habe nahtlos an seiner Argumentation vor Bezirksgericht anknüpfen können. Angesichts dessen sei die Kostennote des Verteidigers vom 21. Oktober 2019 klar über- höht, weshalb nicht unbesehen darauf abgestellt werden könne. Nicht be- reits im erstinstanzlichen Verfahren abgegolten und angemessen erscheine nicht ein Aufwand von 94.35 Stunden, sondern von insgesamt rund 27 Stun- den: 2 ½ Stunden für die Berufungserklärung sowie Kontakte mit dem Be- schuldigten; 11 Stunden für die Berufungsbegründung; 5 Stunden für die Be- rufungsantworten; ½ Stunde für die Vorbereitung der Berufungsverhandlung;</w:t>
      </w:r>
    </w:p>
    <w:p>
      <w:r>
        <w:rPr>
          <w:b/>
        </w:rPr>
        <w:t>E. 3.3</w:t>
      </w:r>
    </w:p>
    <w:p>
      <w:r>
        <w:t>Der Verteidiger stellt in seiner Beschwerde mittels einer Tabelle übersichtlich je Aufwandskategorie den von der Strafkammer zugesprochenen und den von ihm verrechneten Aufwand gegenüber und zieht die Differenz. Der Fall sei komplex gewesen. Nicht nur habe der Angeklagte den Sachverhalt des Tötungsdelikts bestritten, es sei auch die rechtliche Qualifikation inkl. Frei- spruch zu behandeln gewesen. Zur Anordnung der stationären Massnahme habe er Verfahrensfehler gerügt. Auf eine hohe Entschädigung vor Bezirks- gericht zu verweisen sei nicht statthaft, da diese rechtskräftig geworden sei und keine Gesamtbeurteilung vorgenommen werden dürfe. Die Strafkammer habe weder begründet, welcher Aufwand objektiv geboten sei noch die Kri- terien genannt, nach denen sie dies beurteilt habe. Dies verletze sein recht- liches Gehör. Die drei Gegenparteien hätten, vehement und detailliert be- gründet, eine Verurteilung wegen Mordes verlangt und dazu insgesamt 79 Seiten eingereicht. Er habe darauf reagieren müssen, zumal die Straf- kammer das schriftliche Verfahren angeordnet habe, mithin damals nicht klar gewesen sei, dass eine Verhandlung stattfinde. Seine Aufwendungen seien angemessen und notwendig. Die Strafkammer habe die Verletzung des Be- schleunigungsprinzips festgehalten. Selbst ein erfahrener Verteidiger könne</w:t>
      </w:r>
    </w:p>
    <w:p>
      <w:r>
        <w:t>- 8 -</w:t>
      </w:r>
    </w:p>
    <w:p>
      <w:r>
        <w:t>nicht 20 Bundesordner für die Berufungsbegründung nach 17 Monaten voll- ständig präsent behalten. Auch seien 3 ½ Stunden für den Kontakt mit dem Beschuldigten im Verlaufe von 2 ½ Jahren (zwischen Erklärung der Berufung und Durchführung der Verhandlung) angemessen. Die Strafkammer führt dazu in ihrer Vernehmlassung aus, die Entschädigung im Berufungsverfahren habe nicht so zu erfolgen, als hätte kein bezirksge- richtliches Verfahren stattgefunden. Es sei in weiten Teilen dasselbe geltend gemacht worden. Es sei in erster Linie darum gegangen, die Täterschaft hin- sichtlich des Mordvorwurfes, für welchen es keine Zeugen gab, zu bestrei- ten. Die Voraussetzungen einer pauschalen Bemessung des angemessenen Zeitaufwands lägen vor. Die dabei berücksichtigten Stundenangaben orien- tierten sich an vergleichbaren Fällen und dafür angemessenen Honorarno- ten. Bei rund 300 Berufungen im Jahr verfüge das Obergericht über einen grossen Erfahrungswert. Die Strafkammer weist abschliessend darauf hin, dass nur ein Honorar ausserhalb jedes vernünftigen Verhältnisses zu den geleisteten Diensten nicht statthaft sei (act. 3 Vernehmlassung vom 18. No- vember 2019).</w:t>
      </w:r>
    </w:p>
    <w:p>
      <w:r>
        <w:rPr>
          <w:b/>
        </w:rPr>
        <w:t>E. 3.4</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t>- 9 -</w:t>
      </w:r>
    </w:p>
    <w:p>
      <w:r>
        <w:rPr>
          <w:b/>
        </w:rPr>
        <w:t>E. 3.5</w:t>
      </w:r>
    </w:p>
    <w:p>
      <w:r>
        <w:t>Die Strafkammer geht gestützt auf die folgenden Elemente in einem ersten Schritt von einer überhöhten Honorarnote der amtlichen Verteidigung aus:</w:t>
      </w:r>
    </w:p>
    <w:p>
      <w:r>
        <w:t>• Vertrautheit der Verteidigung mit den tatsächlichen und rechtlichen Fragen aus dem erstinstanzlichen Verfahren; • Verweis auf die Entschädigung im erstinstanzlichen Verfahren; • Im Berufungsverfahren keine neue Strategie oder neue Vorbringen. Die ersten beiden Begründungselemente (Vertrautheit, vorinstanzliche Ent- schädigung) liegen vor, wann immer ein amtlicher Verteidiger ein Urteil wei- terzieht. Sie sind wenig geeignet zu klären, ob eine konkrete Honorarnote überhöht sei. Ebenso wenig sind das Fehlen einer neuen Strategie oder von neuen Vorbringen ausschlaggebende Entscheidungskriterien. Die Begrün- dung bleibt abstrakt und substanzarm, mithin generisch. Es ist kein offen- sichtliches Missverhältnis zwischen beantragter und angemessener Ent- schädigung dargetan, welches im Sinne der bundesgerichtlichen Rechtspre- chung (vgl. obige Erwägung 3.1) eine pauschale Honorarfestsetzung er- laubte.</w:t>
      </w:r>
    </w:p>
    <w:p>
      <w:r>
        <w:rPr>
          <w:b/>
        </w:rPr>
        <w:t>E. 3.6</w:t>
      </w:r>
    </w:p>
    <w:p>
      <w:r>
        <w:t>Da die Honorarnote überhöht sei, setzt die Strafkammer in einem zweiten Schritt den angemessenen Aufwand pauschal fest, also ohne sich konkret mit dem Aufwand der Verteidigung auseinanderzusetzen. Gemäss dem Ur- teil der Strafkammer seien 6 ½ Stunden (anstelle von 11.63h) angemessen: 1 Stunde für Besprechungen/Kontakte mit dem Beschuldigten (soweit nicht bereits von der erstinstanzlichen Entschädigung abgegolten); 1 Stunde für die Berufungserklärung; 4 Stunden für die Berufungsbegründung und Stel- lungnahme; ½ Stunde für übrige Aufwendungen. Die dabei berücksichtigten Stundenangaben orientierten sich an vergleichbaren Fällen und dafür ange- messenen Honorarnoten. Bei rund 300 Berufungen im Jahr verfüge das Obergericht über einen grossen Erfahrungswert. Die Strafkammer bemisst die Pauschale nur ungenügend nach den konkre- ten Verhältnissen. Es wird nicht klar, welcher Aufwand sachfremd oder über- trieben sei, was die Verteidigung hätte tun oder unterlassen sollen. Die Be- messung der Pauschale kann von der Beschwerdekammer anhand der Be- gründung nicht zuverlässig überprüft werden. Sollten die drei Begründungs- punkte zur überhöhten Honorarnote (vgl. vorstehende Erwägungen 3.5, 3.2) auch in die Bemessung der Pauschale eingeflossen sein, so wäre dies zu- mindest teilweise nicht sachgerecht: Die Verteidigung vor der Vorinstanz er- spart zwar eine Einarbeitung in die tatsächlichen und rechtlichen Fragen der Strafsache. Die Entschädigung im Verfahren vor Bezirksgericht entschädigt aber nicht auch Aufwand der Verteidigung im Verfahren vor der Strafkam- mer. Die präsente Kenntnis des Falles war für den Verteidiger durch die lange Verfahrensdauer (Verletzung des Beschleunigungsgebots) erschwert.</w:t>
      </w:r>
    </w:p>
    <w:p>
      <w:r>
        <w:t>- 10 -</w:t>
      </w:r>
    </w:p>
    <w:p>
      <w:r>
        <w:t>Sie erspart zudem nicht die Redaktion der Berufungserklärung oder die Vor- bereitung des Plädoyers. Sie schreibt auch noch nicht die von der Strafkam- mer gewünschte Berufungsbegründung. Der Verteidiger muss sich vielmehr mit der Begründung der unteren Instanz, vor allem aber mit der Berufung und den Begründungen der (hier beiden) Gegenparteien, auseinanderset- zen. Dem Rechtsmittelsystem der "double instance" ist zudem inhärent, dass vor der oberen Instanz auch gleiche Rechtsfragen nochmals aufgeworfen werden dürfen (resp. für einen Weiterzug ans Bundesgericht, müssen). Massgeblich für die Entschädigung der amtlichen Verteidigung durch die Strafkammer ist, ob die konkreten Rechts- und Tatfragen den Aufwand im Berufungsverfahren selbst rechtfertigen.</w:t>
      </w:r>
    </w:p>
    <w:p>
      <w:r>
        <w:rPr>
          <w:b/>
        </w:rPr>
        <w:t>E. 3.7</w:t>
      </w:r>
    </w:p>
    <w:p>
      <w:r>
        <w:t>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w:t>
      </w:r>
    </w:p>
    <w:p>
      <w:r>
        <w:rPr>
          <w:b/>
        </w:rPr>
        <w:t>E. 3.8</w:t>
      </w:r>
    </w:p>
    <w:p>
      <w:r>
        <w:t>Die Beschwerdekammer hatte jüngst mehrfach Anlass, sich mit Fällen von Pauschalentschädigungen durch das Obergericht des Kantons Aargau zu befassen (vgl. die Entscheide vom heutigen Datum BB.2020.5; BB.2020.1; BB.2019.280; BB.2019.256; BB.2019.209; BB.2019.203; BB.2019.118; BB.2019.77). Entschädigt die Strafkammer wie vorliegend pauschal – ohne dass eine pauschale Festsetzung nach Rahmentarif vorgesehen ist – so be- 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 sche Bundesverfassung, St. Galler Kommentar, 3. Aufl. 2014, Art. 5 N. 32 ff.; HÄFELIN/MÜLLER/UHLMANN, Allgemeines Verwaltungsrecht, 7. Aufl. 2016, S. 80–85). Es tangiert auch den Individualanspruch des Beschuldigten auf wirksame Verteidigung. Die Kantone Zürich und St. Gallen umschreiben die Pauschalen auf Verordnungsstufe. Ein generell-abstrakter und genügend bestimmter Rechtssatz stellt sicher, dass die Entschädigung für die amtli- chen Verteidiger vorhersehbar ist und sie rechtsgleich behandelt werden.</w:t>
      </w:r>
    </w:p>
    <w:p>
      <w:r>
        <w:t>- 11 -</w:t>
      </w:r>
    </w:p>
    <w:p>
      <w:r>
        <w:t>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 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w:t>
      </w:r>
    </w:p>
    <w:p>
      <w:r>
        <w:rPr>
          <w:b/>
        </w:rPr>
        <w:t>E. 3.9</w:t>
      </w:r>
    </w:p>
    <w:p>
      <w:r>
        <w:t>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w:t>
      </w:r>
    </w:p>
    <w:p>
      <w:r>
        <w:t>- 12 -</w:t>
      </w:r>
    </w:p>
    <w:p>
      <w:r>
        <w:t>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w:t>
      </w:r>
    </w:p>
    <w:p>
      <w:r>
        <w:rPr>
          <w:b/>
        </w:rPr>
        <w:t>E. 3.10</w:t>
      </w:r>
    </w:p>
    <w:p>
      <w:r>
        <w:t>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w:t>
      </w:r>
    </w:p>
    <w:p>
      <w:r>
        <w:t>- 13 -</w:t>
      </w:r>
    </w:p>
    <w:p>
      <w:r>
        <w:t>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 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 fahrensschritt) dienlich und zumutbar. Zumindest in den Honorarbeschwer- deverfahren vor der Beschwerdekammer machen dies Verteidiger. Spezifi- sche Anforderungen wären der amtlichen Verteidigung mit Vorteil bereits bei Beginn des Berufungsverfahrens mitzuteilen.</w:t>
      </w:r>
    </w:p>
    <w:p>
      <w:r>
        <w:rPr>
          <w:b/>
        </w:rPr>
        <w:t>E. 4</w:t>
      </w:r>
    </w:p>
    <w:p>
      <w:r>
        <w:t>Stunden für die Teilnahme an der Berufungsverhandlung inkl. Anreise; 1 ½ Stunden für übrige Aufwendungen mit verfahrensleitenden Verfügun- gen; 2 ½ Stunden für das Studium des Obergerichtsurteils mitsamt kurzer Nachbesprechung mit dem Klienten. Dazu kämen nach §13 AnwT/AG pau- schalisiert und praxisgemäss auf 3% festgelegte Aufwendungen. Dies er- gebe die angemessene Entschädigung von Fr. 6'000.--.</w:t>
      </w:r>
    </w:p>
    <w:p>
      <w:r>
        <w:rPr>
          <w:b/>
        </w:rPr>
        <w:t>E. 4.1</w:t>
      </w:r>
    </w:p>
    <w:p>
      <w:r>
        <w:t>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w:t>
      </w:r>
    </w:p>
    <w:p>
      <w:r>
        <w:rPr>
          <w:b/>
        </w:rPr>
        <w:t>E. 4.2</w:t>
      </w:r>
    </w:p>
    <w:p>
      <w:r>
        <w:t>Die Gehörsverletzung kann vorliegend von der Beschwerdekammer nicht geheilt werden. Die strukturell fehlende Begründung erlaubt nicht, ein Hono- rar selbst festzusetzen. Die Gehörsverletzungen betreffen überdies zu viele</w:t>
      </w:r>
    </w:p>
    <w:p>
      <w:r>
        <w:t>- 14 -</w:t>
      </w:r>
    </w:p>
    <w:p>
      <w:r>
        <w:t>Fälle, als dass eine Heilung angezeigt wäre (vgl. die Entscheide vom heuti- gen Datum BB.2020.5; BB.2020.1; BB.2019.280; BB.2019.256; BB.2019.209; BB.2019.203; BB.2019.118; BB.2019.77; so schon Be- schlüsse des Bundesstrafgerichts BB.2016.365 vom 1. Juni 2017 E. 4.5; BB.2016.285 vom 26. August 2016 E. 4.3; BB.2016.252 vom 31. August 2016 E. 4.3; BB.2016.93 vom 8. September 2016 E. 3.5). Erlaubt das ange- fochtene Urteil keinen reformatorischen Entscheid und ist eine Kassation an- gezeigt, so obsiegt der amtliche Verteidiger vollumfänglich (vgl. nur BGE 137 V 210 E. 7.1). Die Beschwerde ist dementsprechend gutzuheissen und Dis- positiv Ziffer 9.2 des angefochtenen Urteils ist antragsgemäss aufzuheben. Das Verfahren ist an das Obergericht des Kantons Aargau, Strafkammer, zu neuem Entscheid über die Entschädigung der amtlichen Verteidigung zu- rückzuweisen.</w:t>
      </w:r>
    </w:p>
    <w:p>
      <w:r>
        <w:rPr>
          <w:b/>
        </w:rPr>
        <w:t>E. 5.1</w:t>
      </w:r>
    </w:p>
    <w:p>
      <w:r>
        <w:t>Bei diesem Ausgang des Verfahrens sind keine Gerichtskosten zu erheben.</w:t>
      </w:r>
    </w:p>
    <w:p>
      <w:r>
        <w:rPr>
          <w:b/>
        </w:rPr>
        <w:t>E. 5.2</w:t>
      </w:r>
    </w:p>
    <w:p>
      <w:r>
        <w:t>Der obsiegende amtliche Verteidiger hat Anspruch auf eine Prozessentschä- digung (Art. 436 Abs. 1 i.V.m. Art. 429 Abs. 1 lit. a StPO). Er hat hierzu am 2. Dezember 2019 eine Honorarnote eingereicht. Seine Bemühungen sind ausgewiesen und vorliegend noch angemessen (vgl. Art. 10 und 12 Abs. 2 des Reglements des Bundesstrafgerichts vom 31. August 2010 über die Kosten, Gebühren und Entschädigungen in Bundesstrafverfahren; BStKR, SR 173.713.162). Entsprechend ist das Obergericht des Kantons Aargau zu verpflichten, Rechtsanwalt A. antragsgemäss eine Prozessentschädigung für das Honorarbeschwerdeverfahren von gerundet Fr. 3'550.75 (inkl. Bar- auslagen und MwSt.) zu bezahlen.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