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BB.2019.265 vom 8. Januar 2020</w:t>
      </w:r>
    </w:p>
    <w:p>
      <w:r>
        <w:t>Bundesstrafgericht, 2020-01-08, DE</w:t>
      </w:r>
    </w:p>
    <w:p>
      <w:r>
        <w:rPr>
          <w:b/>
        </w:rPr>
        <w:t xml:space="preserve">Quelle: </w:t>
      </w:r>
      <w:r>
        <w:t>https://mcp.opencaselaw.ch/entscheid/bstger_BB.2019.265</w:t>
      </w:r>
    </w:p>
    <w:p>
      <w:r>
        <w:t>FR: TPF BB.2019.265 du 8 janvier 2020</w:t>
      </w:r>
    </w:p>
    <w:p>
      <w:r>
        <w:t>IT: TPF BB.2019.265 del 8 gennaio 2020</w:t>
      </w:r>
    </w:p>
    <w:p>
      <w:pPr>
        <w:pStyle w:val="Heading2"/>
      </w:pPr>
      <w:r>
        <w:t>Regeste</w:t>
      </w:r>
    </w:p>
    <w:p>
      <w:r>
        <w:t>Nichtanhandnahmeverfügung (Art. 310 i.V.m. Art. 322 Abs. 2 StPO).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Beschwerde wird nicht eingetreten.</w:t>
      </w:r>
    </w:p>
    <w:p>
      <w:r>
        <w:rPr>
          <w:b/>
        </w:rPr>
        <w:t>E. 2</w:t>
      </w:r>
    </w:p>
    <w:p>
      <w:r>
        <w:t>Die Gerichtsgebühr von Fr. 200.– wird dem Beschwerdeführer auferlegt.</w:t>
      </w:r>
    </w:p>
    <w:p>
      <w:r>
        <w:t>Bellinzona, 9. Januar 2020</w:t>
      </w:r>
    </w:p>
    <w:p>
      <w:r>
        <w:t>Im Namen der Beschwerdekammer des Bundesstrafgerichts</w:t>
      </w:r>
    </w:p>
    <w:p>
      <w:r>
        <w:t>Der Präsident: Der Gerichtsschreiber:</w:t>
      </w:r>
    </w:p>
    <w:p>
      <w:r>
        <w:t>Zustellung an</w:t>
      </w:r>
    </w:p>
    <w:p>
      <w:r>
        <w:t>- A. - B., Schweizerisches Bundesgericht - Bundesanwaltschaft</w:t>
      </w:r>
    </w:p>
    <w:p>
      <w:r>
        <w:t>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