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BB.2019.239 vom 27. Mai 2020</w:t>
      </w:r>
    </w:p>
    <w:p>
      <w:r>
        <w:t>Bundesstrafgericht, 2020-05-27, FR</w:t>
      </w:r>
    </w:p>
    <w:p>
      <w:r>
        <w:rPr>
          <w:b/>
        </w:rPr>
        <w:t xml:space="preserve">Quelle: </w:t>
      </w:r>
      <w:r>
        <w:t>https://mcp.opencaselaw.ch/entscheid/bstger_BB.2019.239</w:t>
      </w:r>
    </w:p>
    <w:p>
      <w:r>
        <w:t>FR: TPF BB.2019.239 du 27 mai 2020</w:t>
      </w:r>
    </w:p>
    <w:p>
      <w:r>
        <w:t>IT: TPF BB.2019.239 del 27 maggio 2020</w:t>
      </w:r>
    </w:p>
    <w:p>
      <w:pPr>
        <w:pStyle w:val="Heading2"/>
      </w:pPr>
      <w:r>
        <w:t>Regeste</w:t>
      </w:r>
    </w:p>
    <w:p>
      <w:r>
        <w:t>Séquestre (art. 263 ss CPP).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décembre 2017 consid. 3.1);</w:t>
      </w:r>
    </w:p>
    <w:p>
      <w:r>
        <w:t>qu’à l’encontre d’une décision nulle il ne peut être formé de recours;</w:t>
      </w:r>
    </w:p>
    <w:p>
      <w:r>
        <w:t>que selon la jurisprudence, un recours à l’encontre d’une décision nulle est irrecevable, et la nullité doit être constatée dans le dispositif (v. ATF 132 II 342 consid. 2.1 et les références citées);</w:t>
      </w:r>
    </w:p>
    <w:p>
      <w:r>
        <w:t>que le présent recours est partant irrecevable;</w:t>
      </w:r>
    </w:p>
    <w:p>
      <w:r>
        <w:t>que conformément à l’art. 428 al. 1 CPP, les frais de la procédure de recours sont mis à la charge des parties dans la mesure où elles ont obtenu gain de cause ou succombé;</w:t>
      </w:r>
    </w:p>
    <w:p>
      <w:r>
        <w:t>- 5 -</w:t>
      </w:r>
    </w:p>
    <w:p>
      <w:r>
        <w:t>que la partie dont le recours est déclaré irrecevable est également considérée avoir succombé;</w:t>
      </w:r>
    </w:p>
    <w:p>
      <w:r>
        <w:t>que toutefois, vu la particularité du cas d’espèce, il peut exceptionnellement être renoncé à la perception de frais.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