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BB.2019.230 vom 24. Oktober 2019</w:t>
      </w:r>
    </w:p>
    <w:p>
      <w:r>
        <w:t>Bundesstrafgericht, 2019-10-24, FR</w:t>
      </w:r>
    </w:p>
    <w:p>
      <w:r>
        <w:rPr>
          <w:b/>
        </w:rPr>
        <w:t xml:space="preserve">Quelle: </w:t>
      </w:r>
      <w:r>
        <w:t>https://mcp.opencaselaw.ch/entscheid/bstger_BB.2019.230</w:t>
      </w:r>
    </w:p>
    <w:p>
      <w:r>
        <w:t>FR: TPF BB.2019.230 du 24 octobre 2019</w:t>
      </w:r>
    </w:p>
    <w:p>
      <w:r>
        <w:t>IT: TPF BB.2019.230 del 24 ottobre 2019</w:t>
      </w:r>
    </w:p>
    <w:p>
      <w:pPr>
        <w:pStyle w:val="Heading2"/>
      </w:pPr>
      <w:r>
        <w:t>Regeste</w:t>
      </w:r>
    </w:p>
    <w:p>
      <w:r>
        <w:t>Ordonnance pénale du Ministère public de la Confédération (art. 352 CPP) et classement de la procédure (art. 322 al. 2 CPP);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CONFÉDÉRATION,</w:t>
      </w:r>
    </w:p>
    <w:p>
      <w:r>
        <w:rPr>
          <w:b/>
        </w:rPr>
        <w:t>E. 2</w:t>
      </w:r>
    </w:p>
    <w:p>
      <w:r>
        <w:t>B., représenté par Me Jean-Marc Carnicé, avocat, intimés</w:t>
      </w:r>
    </w:p>
    <w:p>
      <w:r>
        <w:t>Objet</w:t>
      </w:r>
    </w:p>
    <w:p>
      <w:r>
        <w:t>Ordonnance pénale du Ministère public de la Confédération (art. 352 CPP) et classement de la procédure (art. 322 al. 2 CPP); 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BB.2019.230 Procédure secondaire: BP.2019.81</w:t>
      </w:r>
    </w:p>
    <w:p>
      <w:r>
        <w:t>- 2 -</w:t>
      </w:r>
    </w:p>
    <w:p>
      <w:r>
        <w:t>La Cour des plaintes, vu:</w:t>
      </w:r>
    </w:p>
    <w:p>
      <w:r>
        <w:t>- la procédure pénale SV.17.0934-SCF menée par le Ministère public de la Confédération (ci-après: MPC) contre B., depuis le 30 mars 2012, pour blanchiment d’argent (art. 305bis CP) et corruption d’agents publics étrangers (art. 322septies CP),</w:t>
      </w:r>
    </w:p>
    <w:p>
      <w:r>
        <w:t>- l’admission de la A. Corp. (ci-après: A. Corp. ou la recourante) comme partie plaignante (décision du Tribunal pénal fédéral BB.2017.149 du 7 mars 2018),</w:t>
      </w:r>
    </w:p>
    <w:p>
      <w:r>
        <w:t>- le courrier du 30 août 2019 de la A. Corp. adressé au MPC et faisant office de réquisition de preuves (act. 2.2),</w:t>
      </w:r>
    </w:p>
    <w:p>
      <w:r>
        <w:t>- l’ordonnance pénale et de classement partiel à l’encontre de B. du MPC du 17 septembre 2019 (act. 1.1),</w:t>
      </w:r>
    </w:p>
    <w:p>
      <w:r>
        <w:t>- le courrier recommandé du 1er octobre 2019 du MPC refusant les réquisitions de preuves de la A. Corp., et lui communiquant l’ordonnance pénale précitée (act. 2.1),</w:t>
      </w:r>
    </w:p>
    <w:p>
      <w:r>
        <w:t>- le recours formé par la A. Corp. le 14 octobre 2019 devant la Cour de céans, concluant à, préalablement, accorder l’effet suspensif au recours et, principalement, à annuler l’ordonnance pénale et le classement partiel du MPC, sous suite de frais et dépens (act. 1),</w:t>
      </w:r>
    </w:p>
    <w:p>
      <w:r>
        <w:t>- la requête de la Cour de céans à la recourante de lui faire parvenir une copie de la lettre susmentionnée du 1er octobre 2019 du MPC,</w:t>
      </w:r>
    </w:p>
    <w:p>
      <w:r>
        <w:t>- le courrier recommandé du 15 octobre 2019 de la recourante faisant parvenir une copie de ladite lettre (act. 2),</w:t>
      </w:r>
    </w:p>
    <w:p>
      <w:r>
        <w:t>et considérant:</w:t>
      </w:r>
    </w:p>
    <w:p>
      <w:r>
        <w:t>qu’à teneur de l’art. 390 al. 2 CPP, l’autorité de recours peut surseoir à procéder à un échange d’écritures lorsque le recours est, comme en l’espèce, manifestement irrecevable;</w:t>
      </w:r>
    </w:p>
    <w:p>
      <w:r>
        <w:t>que les décisions du MPC peuvent faire l’objet d’un recours devant la Cour de céans (art. 393 al. 1 let. a CPP et art. 37 al. 1 de la loi fédérale sur l’organisation des autorités pénales de la Confédération [LOAP; RS 173.71]);</w:t>
      </w:r>
    </w:p>
    <w:p>
      <w:r>
        <w:t>- 3 -</w:t>
      </w:r>
    </w:p>
    <w:p>
      <w:r>
        <w:t>que selon l’art. 393 al. 2 let. a CPP, le recours peut être formé pour violation du droit, y compris l’excès et l’abus du pouvoir d’appréciation, le déni de justice et le retard injustifié;</w:t>
      </w:r>
    </w:p>
    <w:p>
      <w:r>
        <w:t>que la Cour des plaintes du Tribunal pénal fédéral examine d’office et en pleine cognition la recevabilité des recours qui lui sont adressés (JdT 2012 IV 5 no 199);</w:t>
      </w:r>
    </w:p>
    <w:p>
      <w:r>
        <w:t>qu’en l’espèce, le présent recours vise à contester l’ordonnance pénale du MPC du 17 septembre 2019 dans la mesure où cette dernière a été rendue avant même que le MPC ne statue sur les réquisitions de preuves de la recourante;</w:t>
      </w:r>
    </w:p>
    <w:p>
      <w:r>
        <w:t>que, cependant, au sens de l’art. 354 al. 1 CPP, les personnes concernées par l’ordonnance pénale peuvent former opposition contre celle-ci devant le MPC;</w:t>
      </w:r>
    </w:p>
    <w:p>
      <w:r>
        <w:t>que la Cour de céans n’est donc pas compétente pour statuer sur le présent recours en tant qu’il s’en prend à l’ordonnance pénale du MPC du 17 septembre 2019;</w:t>
      </w:r>
    </w:p>
    <w:p>
      <w:r>
        <w:t>que le recours est donc irrecevable concernant l’opposition à l’ordonnance pénale;</w:t>
      </w:r>
    </w:p>
    <w:p>
      <w:r>
        <w:t>que l’acte entrepris prévoit aussi le classement d’une partie de la procédure;</w:t>
      </w:r>
    </w:p>
    <w:p>
      <w:r>
        <w:t>que l’art. 322 al. 2 CPP indique que les parties, au nombre desquelles la partie plaignante (art. 104 al. 1 let. b CPP), peuvent attaquer l’ordonnance de classement dans les dix jours devant la Cour des plaintes du Tribunal pénal fédéral;</w:t>
      </w:r>
    </w:p>
    <w:p>
      <w:r>
        <w:t>qu’au sens de l’art. 382 al. 1 CPP, a qualité pour recourir toute partie qui a un intérêt juridiquement protégé à l’annulation ou à la modification d’une décision;</w:t>
      </w:r>
    </w:p>
    <w:p>
      <w:r>
        <w:t>que cet intérêt doit être actuel (décision du Tribunal pénal fédéral BB.2018.64 du 30 octobre 2018 consid. 2.5);</w:t>
      </w:r>
    </w:p>
    <w:p>
      <w:r>
        <w:t>que dans la mesure où la recourante conteste le refus de réquisition de preuve, il faut rappeler qu’à teneur de l’art. 318 al. 3 CPP, cela ne peut être sujet à recours;</w:t>
      </w:r>
    </w:p>
    <w:p>
      <w:r>
        <w:t>que sur ce point, le recours est ainsi également irrecevable;</w:t>
      </w:r>
    </w:p>
    <w:p>
      <w:r>
        <w:t>qu’à titre d’intérêt actuel, la recourante fait valoir sa possibilité de chiffrer ses prétentions civiles;</w:t>
      </w:r>
    </w:p>
    <w:p>
      <w:r>
        <w:t>que cependant, le classement partiel de la procédure à l’encontre de B. porte ici sur l’infraction de blanchiment d’argent (art. 305bis al. 1 CP) pour des raisons de prescription;</w:t>
      </w:r>
    </w:p>
    <w:p>
      <w:r>
        <w:t>- 4 -</w:t>
      </w:r>
    </w:p>
    <w:p>
      <w:r>
        <w:t>que la recourante ne le conteste pas et ne démontre pas en quoi elle serait touchée par cet abandon alors que l’incrimination relative au crime préalable de corruption subsiste;</w:t>
      </w:r>
    </w:p>
    <w:p>
      <w:r>
        <w:t>que sur ce point, la recourante n’a donc aucun intérêt actuel à s’opposer au classement;</w:t>
      </w:r>
    </w:p>
    <w:p>
      <w:r>
        <w:t>que le recours est ainsi également irrecevable sur ce point;</w:t>
      </w:r>
    </w:p>
    <w:p>
      <w:r>
        <w:t>que le recours est donc en tout point irrecevable;</w:t>
      </w:r>
    </w:p>
    <w:p>
      <w:r>
        <w:t>que la demande d’effet suspensif est dès lors devenue sans objet;</w:t>
      </w:r>
    </w:p>
    <w:p>
      <w:r>
        <w:t>que conformément à l'art. 428 al. 1 CPP, les frais de la procédure de recours sont mis à la charge des parties dans la mesure où elles ont obtenu gain de cause ou succombé; la partie dont le recours est déclaré irrecevable étant également considérée avoir succombé;</w:t>
      </w:r>
    </w:p>
    <w:p>
      <w:r>
        <w:t>que les frais de justice doivent être calculés en application des art. 73 al. 2 LOAP, ainsi que des art. 5 et 8 du règlement du Tribunal pénal fédéral sur les frais, émoluments, dépens, et indemnités de la procédure pénale fédérale (RFPPF; RS 173.713.162) et seront fixés à CHF 500.--.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