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BB.2019.221 vom 16. April 2020</w:t>
      </w:r>
    </w:p>
    <w:p>
      <w:r>
        <w:t>Bundesstrafgericht, 2020-04-16, FR</w:t>
      </w:r>
    </w:p>
    <w:p>
      <w:r>
        <w:rPr>
          <w:b/>
        </w:rPr>
        <w:t xml:space="preserve">Quelle: </w:t>
      </w:r>
      <w:r>
        <w:t>https://mcp.opencaselaw.ch/entscheid/bstger_BB.2019.221</w:t>
      </w:r>
    </w:p>
    <w:p>
      <w:r>
        <w:t>FR: TPF BB.2019.221 du 16 avril 2020</w:t>
      </w:r>
    </w:p>
    <w:p>
      <w:r>
        <w:t>IT: TPF BB.2019.221 del 16 aprile 2020</w:t>
      </w:r>
    </w:p>
    <w:p>
      <w:pPr>
        <w:pStyle w:val="Heading2"/>
      </w:pPr>
      <w:r>
        <w:t>Regeste</w:t>
      </w:r>
    </w:p>
    <w:p>
      <w:r>
        <w:t>Consultation des dossiers (art. 101 s. en lien avec l'art. 107 al. 1 let. a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écrits ou oralement est motivé et adressé par écrit, dans le délai de dix jours, à l’autorité de recours (art. 396 al. 1 CPP). In casu, interjeté le 7 octobre 2019, contre une décision reçue au plus tôt le 26 septembre 2019, le recours l’a été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 recourant, dès lors qu’il requiert que ses e-mails ne soient pas rendus accessibles aux autres parties, a partant qualité pour recourir. Il convient ainsi d’entrer en matière.</w:t>
      </w:r>
    </w:p>
    <w:p>
      <w:r>
        <w:rPr>
          <w:b/>
        </w:rPr>
        <w:t>E. 2</w:t>
      </w:r>
    </w:p>
    <w:p>
      <w:r>
        <w:t>Le recourant invoque une violation de l’art. 108 al. 1 let. b CPP. Il estime que c’est à tort que le MCP a retenu que l’intérêt de rendre accessibles aux autres parties les pièces sélectionnées était supérieur à son intérêt à la protection d’éventuels secrets (act. 1, p. 5 ss).</w:t>
      </w:r>
    </w:p>
    <w:p>
      <w:r>
        <w:rPr>
          <w:b/>
        </w:rPr>
        <w:t>E. 2.1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w:t>
      </w:r>
    </w:p>
    <w:p>
      <w:r>
        <w:t>- 5 -</w:t>
      </w:r>
    </w:p>
    <w:p>
      <w:r>
        <w:t>conforment,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2.2</w:t>
      </w:r>
    </w:p>
    <w:p>
      <w:r>
        <w:t>L'accès au dossier est en principe total (MOREILLON/PAREIN-REYMOND, Petit commentaire CPP, 2ème éd. 2016, n° 3 ad art. 101 CPP; BENDANI, Commentaire romand, op. cit.,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bancaires, de fabrication, d'affaire, militaire (SCHMUTZ, Basler Kommentar, op. cit., n° 6 ad art. 108 CPP) ou encore la protection de la sphère privée ou intime, de la vie, de l’intégrité corporelle ou un autre inconvénient grave (BENDANI, Commentaire romand, n° 4 ad art. 108 CPP; 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op. cit., n° 19 ad art. 101 CPP).</w:t>
      </w:r>
    </w:p>
    <w:p>
      <w:r>
        <w:rPr>
          <w:b/>
        </w:rPr>
        <w:t>E. 2.3</w:t>
      </w:r>
    </w:p>
    <w:p>
      <w:r>
        <w:t>En règle générale, on admet que le secret d'affaires couvre les données</w:t>
      </w:r>
    </w:p>
    <w:p>
      <w:r>
        <w:t>- 6 -</w:t>
      </w:r>
    </w:p>
    <w:p>
      <w:r>
        <w:t>techniques, organisationnelles, commerciales et financières qui sont spécifiques à l'entreprise, qui peuvent avoir une incidence sur le résultat commercial et que l'entrepreneur veut garder secrètes (arrêt du Tribunal fédéral 4A_195/2010 du 8 juin 2010 consid. 2.2 et références citées). La présence de telles pièces au dossier présuppose que la mise en balance avec les intérêts de la poursuite pénale ait déjà été effectuée par les autorités, de sorte que leur non-communication subséquente devrait s'avérer exceptionnelle. Il doit exister suffisamment d'éléments concrets permettant de craindre l'existence de risques pour les secrets en question et les mesures prises pour les prévenir doivent rester proportionnées (BENDANI, Commentaire romand, ad art. 108 nos 6 et 7). A ce titre, le principe de proportionnalité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(BENDANI, Commentaire romand, op. cit., n° 16 ad art. 108).</w:t>
      </w:r>
    </w:p>
    <w:p>
      <w:r>
        <w:rPr>
          <w:b/>
        </w:rPr>
        <w:t>E. 2.4.1</w:t>
      </w:r>
    </w:p>
    <w:p>
      <w:r>
        <w:t>Dans la décision querellée, le MPC retient que le recourant n’a pas indiqué quelles informations pourraient avoir une incidence sur le résultat commercial si elles étaient rendues accessibles aux parties à la procédure, que celui-ci n’identifie pas davantage les sociétés touchées par une éventuelle atteinte à un secret d’affaires et qu’il ne rend pas vraisemblable que ces éléments pourraient aujourd’hui encore mettre en péril quelque secret que ce soit. Les allégations générales du recourant n’auraient ainsi pas permis d’établir l’existence d’un risque effectif d’atteinte à d’hypothétiques secrets d’affaires. Le MPC soutient par ailleurs que les documents en question sont pertinents pour l’établissement des faits de la procédure, de sorte que l’intérêt de les rendre accessibles aux autres parties est supérieur à celui du recourant à la protection d’éventuels secrets (act. 1.2, p. 5-6).</w:t>
      </w:r>
    </w:p>
    <w:p>
      <w:r>
        <w:rPr>
          <w:b/>
        </w:rPr>
        <w:t>E. 2.4.2</w:t>
      </w:r>
    </w:p>
    <w:p>
      <w:r>
        <w:t>Le recourant estime que c’est à tort que la décision entreprise considère que l’intérêt de rendre accessible aux autres parties les pièces sélectionnées est supérieur à son intérêt à la protection d’éventuels secrets. Les e-mails litigieux proviennent de sa boîte e-mail professionnelle et contiendraient de ce fait des informations privées relatives à son activité commerciale. Ainsi, des échanges relatifs à son agenda mentionnant des rendez-vous avec des partenaires ou des relations sans lien avec le dossier, des échanges internes avec son équipe sur le fonctionnement interne et la stratégie commerciale,</w:t>
      </w:r>
    </w:p>
    <w:p>
      <w:r>
        <w:t>- 7 -</w:t>
      </w:r>
    </w:p>
    <w:p>
      <w:r>
        <w:t>des échanges avec des partenaires commerciaux externes renseignant sur la stratégie commerciale de F. ou encore d’autres échanges internes, qui seraient sans grande pertinence pour le dossier pénal (act. 1, p. 5). Le recourant liste enfin et commente les pièces qu’il estime inutiles à la procédure menée par le MPC (act. 1, annexes 1 à 4, p. 8-19).</w:t>
      </w:r>
    </w:p>
    <w:p>
      <w:r>
        <w:rPr>
          <w:b/>
        </w:rPr>
        <w:t>E. 2.4.3</w:t>
      </w:r>
    </w:p>
    <w:p>
      <w:r>
        <w:t>Il convient à titre liminaire de relever que les arguments du recourant relatifs à la procédure de recours contre la décision d’annulation d’actes du MPC – qui était pendante au moment du dépôt de ce recours – ne sont plus pertinents dès lors que la Cour de céans a, par décision du 7 février 2020, rejeté le recours déposé par le recourant à ce sujet (décision BB.2019.200). Ainsi, les actes que le recourant souhaitait voir retirés du dossier ne l’ont pas été, de sorte que les e-mails litigieux ne risquent plus d’être retirés du dossier (v. act. 1, p. 5-6). De plus, les conséquences des récusations prononcées sont désormais définitivement arrêtées, de sorte que la procédure peut être clôturée (celle-ci a d’ailleurs fait l’objet d’une mise en accusation par devant la Cour des affaires pénales du Tribunal pénal fédéral, avant que cette dernière ne renvoie l’acte d’accusation pour compléments). A ce sujet, il convient ainsi de préciser que l’intérêt actuel des autres parties à accéder à l’ensemble du dossier est ainsi particulièrement important (cf. supra, consid. 2.2), de sorte qu’il incombe au recourant de démontrer à satisfaction pour quels motifs exceptionnels son intérêt au maintien du secret d’affaires serait supérieur à celui des autres parties, ce qui sera examiné ci-dessous (v. act. 1, p. 6; v. infra). Enfin, le grief invoqué par le recourant reposant sur l’inopportunité de la décision entreprise doit être rejeté, dans la mesure où celui-ci se fonde uniquement sur la demande d’annulation d’actes formée par le recourant, question étant désormais tranchée (v. act. 1, p. 6-7).</w:t>
      </w:r>
    </w:p>
    <w:p>
      <w:r>
        <w:t>Au vu des éléments qui précèdent et dès lors que des restrictions d’accès au dossier doivent être soumises à des conditions particulières et limitées dans le temps – toutes les parties devant avoir, en principe, le droit de consulter le dossier au plus tard lors de la phase de clôture de l’instruction – le recourant doit démontrer que la protection du secret qu’il invoque repose sur des éléments concrets, quelles seraient les incidences potentielles d’une divulgation sur ce secret, et que celui-ci l’emporte exceptionnellement sur le droit des autres parties à consulter ces pièces (cf. supra, consid. 2.2 et 2.3). Or en l’espèce, le recourant se contente d’invoquer, principalement, l’inutilité de certaines pièces pour l’enquête, ou alors le fait que l’information en question ressort également d’une autre pièce. Il n’expose nullement, comme le relève à juste titre le MPC, en quoi le secret de ses affaires serait concrètement mis en danger par l’accès des parties à ces pièces. De plus et quand bien même il fait valoir l’inutilité de certaines pièces pour la procédure en cours, il ne donne aucun élément appuyant cette thèse, alors que le MPC</w:t>
      </w:r>
    </w:p>
    <w:p>
      <w:r>
        <w:t>- 8 -</w:t>
      </w:r>
    </w:p>
    <w:p>
      <w:r>
        <w:t>a décrit l’utilité des pièces litigieuses dans la décision attaquée. Dès lors et à défaut de motiver de façon suffisante pour quelle(s) raison(s) son intérêt au maintien du secret l’emporterait, respectivement de quelle façon celui-ci serait concrètement mis en danger pour ses affaires commerciales si les autres parties devaient avoir accès au pièces litigieuses, le recourant ne parvient pas à démontrer la justification d’une telle mesure.</w:t>
      </w:r>
    </w:p>
    <w:p>
      <w:r>
        <w:rPr>
          <w:b/>
        </w:rPr>
        <w:t>E. 3</w:t>
      </w:r>
    </w:p>
    <w:p>
      <w:r>
        <w:t>Il résulte de ce qui précède que le recours, mal fondé, doit être rejeté.</w:t>
      </w:r>
    </w:p>
    <w:p>
      <w:r>
        <w:rPr>
          <w:b/>
        </w:rPr>
        <w:t>E. 4</w:t>
      </w:r>
    </w:p>
    <w:p>
      <w:r>
        <w:t>Conformément à l’art. 428 CPP, les frais de la procédure de recours sont mis à la charge des parties dans la mesure où elles ont obtenu gain de cause ou succombé. Le recourant succombe en l’espèce et s’acquittera d’un émolument qui, en application de l’art. 8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