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BB.2019.210 vom 8. Oktober 2019</w:t>
      </w:r>
    </w:p>
    <w:p>
      <w:r>
        <w:t>Bundesstrafgericht, 2019-10-08, FR</w:t>
      </w:r>
    </w:p>
    <w:p>
      <w:r>
        <w:rPr>
          <w:b/>
        </w:rPr>
        <w:t xml:space="preserve">Quelle: </w:t>
      </w:r>
      <w:r>
        <w:t>https://mcp.opencaselaw.ch/entscheid/bstger_BB.2019.210</w:t>
      </w:r>
    </w:p>
    <w:p>
      <w:r>
        <w:t>FR: TPF BB.2019.210 du 8 octobre 2019</w:t>
      </w:r>
    </w:p>
    <w:p>
      <w:r>
        <w:t>IT: TPF BB.2019.210 del 8 ottobre 2019</w:t>
      </w:r>
    </w:p>
    <w:p>
      <w:pPr>
        <w:pStyle w:val="Heading2"/>
      </w:pPr>
      <w:r>
        <w:t>Regeste</w:t>
      </w:r>
    </w:p>
    <w:p>
      <w:r>
        <w:t>Ordonnance de non-entrée en matière (art. 310 en lien avec l'art. 322 al. 2 CPP).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par. 3 let. c CEDH pas réunies (ATF 129 I 129 consid. 2.1 p. 133; 128 I 225 consid. 2.3 p. 227; 127 I 202 consid. 3b p. 205; décision du Tribunal pénal fédéral BB.2014.83 + BB.2014.86 du 12 février 2015 consid. 3.8), de sorte que la demande d’assistance judiciaire aurait été rejetée;</w:t>
      </w:r>
    </w:p>
    <w:p>
      <w:r>
        <w:t>que par conséquent les frais de la cause sont mis à la charge du recourant, conformément à l’art. 428 CPP;</w:t>
      </w:r>
    </w:p>
    <w:p>
      <w:r>
        <w:t>que ceux-ci sont fixés à CHF 500.--, en application des art. 73 al. 2 LOAP, ainsi que 5 et 8 al. 3 du règlement du Tribunal pénal fédéral du 31 août 2010 sur les frais, émoluments, dépens et indemnités de la procédure pénale fédérale (RFPPF; RS 173.713.162).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