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BB.2019.209 vom 5. Februar 2020</w:t>
      </w:r>
    </w:p>
    <w:p>
      <w:r>
        <w:t>Bundesstrafgericht, 2020-02-05, DE</w:t>
      </w:r>
    </w:p>
    <w:p>
      <w:r>
        <w:rPr>
          <w:b/>
        </w:rPr>
        <w:t xml:space="preserve">Quelle: </w:t>
      </w:r>
      <w:r>
        <w:t>https://mcp.opencaselaw.ch/entscheid/bstger_BB.2019.209</w:t>
      </w:r>
    </w:p>
    <w:p>
      <w:r>
        <w:t>FR: TPF BB.2019.209 du 5 février 2020</w:t>
      </w:r>
    </w:p>
    <w:p>
      <w:r>
        <w:t>IT: TPF BB.2019.209 del 5 febbraio 2020</w:t>
      </w:r>
    </w:p>
    <w:p>
      <w:pPr>
        <w:pStyle w:val="Heading2"/>
      </w:pPr>
      <w:r>
        <w:t>Regeste</w:t>
      </w:r>
    </w:p>
    <w:p>
      <w:r>
        <w:t>Entschädigung der amtlichen Verteidigung (Art. 135 Abs. 3 StPO).</w:t>
      </w:r>
    </w:p>
    <w:p>
      <w:pPr>
        <w:pStyle w:val="Heading2"/>
      </w:pPr>
      <w:r>
        <w:t>Erwägungen</w:t>
      </w:r>
    </w:p>
    <w:p>
      <w:r>
        <w:rPr>
          <w:b/>
        </w:rPr>
        <w:t>E. 12</w:t>
      </w:r>
    </w:p>
    <w:p>
      <w:r>
        <w:t>September 2019 klar überhöht. Nicht bereits im erstinstanzlichen Verfah- ren abgegolten und angemessen erscheine nicht ein Aufwand von 18.25, sondern von 9 Stunden: 2 Stunden für die Berufungserklärung sowie Kon- takte mit dem Beschuldigten; 3 Stunden für die Berufungsbegründung; 1 Stunde für übrige Aufwendungen mit verfahrensleitenden Verfügungen; 3 Stunden für die Teilnahme an der Berufungsverhandlung inkl. Anreise und kurze Nachbesprechung. Dazu kämen nach §13 AnwT/AG pauschalisiert und praxisgemäss auf 3% festgelegte Aufwendungen. Dies ergebe die an- gemessene Entschädigung von Fr. 2'000.--. 3.3 Der Verteidiger legt in der Beschwerde gegen seine Entschädigung im Urteil vom 12. September 2019 dar, wie lange er zusammengefasst für jede Tätig- keit aufgewendet habe. Er weist auch die Auslagen einzeln aus. Die Straf- kammer habe ihre Kürzungen nicht sachgerecht begründet. Die detaillierte Kostennote rechne in 5-Minuten-Schritten ab. Weder habe die Strafkammer begründet, welcher Aufwand objektiv nicht geboten sei noch die Kriterien genannt, nach denen sie dies beurteile. Die Entschädigung werde mit Gut- dünken begründet. Dies verletze das rechtliche Gehör des Verteidigers. Er legt weiter dar, dass und wie seine einzelnen Aufwendungen gerechtfertigt seien. Er erklärt zur Reduktion seiner Entschädigungsforderung (vorliegend: Fr. 3'768.85; bei Vorinstanz: Fr. 4'024.95), dass er den Aufwand für die Ver- handlung geschätzt hatte und effektiv statt 5 nur 3 ½ Stunden angefallen seien (mithin 1 ½ weniger; act. 1).</w:t>
      </w:r>
    </w:p>
    <w:p>
      <w:r>
        <w:t>- 7 -</w:t>
      </w:r>
    </w:p>
    <w:p>
      <w:r>
        <w:t>Die Strafkammer führt dazu in ihrer Vernehmlassung aus, die sich stellenden Fragen seien weder in tatsächlicher noch in rechtlicher Hinsicht besonders komplex. Zum Thema der Landesverweisung, das auch für den Beschwer- deführer im Vordergrund stehe, gebe es zahlreiche Leitentscheide und Ur- teile des Bundesgerichts. Sodann sei in weiten Teilen dasselbe wie im Vor- verfahren geltend gemacht worden. Die Voraussetzungen einer pauschalen Bemessung des angemessenen Zeitaufwands lägen vor. Die dabei berück- sichtigten Stundenangaben orientierten sich an vergleichbaren Fällen und dafür angemessenen Honorarnoten. Bei rund 300 Berufungen im Jahr ver- füge das Obergericht über einen grossen Erfahrungswert. Spargründe spiel- ten keine Rolle (act. 3 Vernehmlassung vom 1. Oktober 2019). 3.4 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 3.5 Die Strafkammer geht gestützt auf die folgenden Elemente in einem ersten Schritt von einer überhöhten Honorarnote des amtlichen Verteidigers aus:</w:t>
      </w:r>
    </w:p>
    <w:p>
      <w:r>
        <w:t>• Vertrautheit des Verteidigers mit den tatsächlichen und rechtlichen Fragen aus dem erstinstanzlichen Verfahren; • Verweis auf die Entschädigung im erstinstanzlichen Verfahren; • Die Berufung betreffe nur wenige und obendrein nicht besonders komplexe Punkte und Themata; • Es sei das Gleiche wie vor Vorinstanz vorgebracht worden.</w:t>
      </w:r>
    </w:p>
    <w:p>
      <w:r>
        <w:t>- 8 -</w:t>
      </w:r>
    </w:p>
    <w:p>
      <w:r>
        <w:t>Die ersten beiden Begründungselemente (Vertrautheit, vorinstanzliche Ent- schädigung) liegen vor, wann immer ein amtlicher Verteidiger ein Urteil wei- terzieht. Sie sind wenig geeignet zu klären, ob eine konkrete Honorarnote überhöht sei. Es werden weiter Themen, Umfang und Komplexität der Beru- fung genannt. Diese beeinflussen zwar den Aufwand, zeigen aber nicht die konkreten Entscheidungskriterien auf. Die Begründung bleibt abstrakt und substanzarm, mithin generisch. Es ist kein offensichtliches Missverhältnis zwischen beantragter und angemessener Entschädigung dargetan, welches im Sinne der bundesgerichtlichen Rechtsprechung (vgl. obige Erwägung 3.1) eine pauschale Honorarfestsetzung erlaubte. 3.6 Da die Honorarnote überhöht sei, setzt die Strafkammer in einem zweiten Schritt den angemessenen Aufwand pauschal fest, also ohne sich konkret mit dem Aufwand der Verteidigung auseinanderzusetzen. Gemäss dem Ur- teil der Strafkammer seien 9 Stunden (anstelle von 18.25h) angemessen: 2 Stunden für die Berufungserklärung sowie Kontakte mit dem Beschuldig- ten; 3 Stunden für die Berufungsbegründung; 1 Stunde für übrige Aufwen- dungen mit verfahrensleitenden Verfügungen; 3 Stunden für die Teilnahme an der Berufungsverhandlung inkl. Anreise und kurze Nachbesprechung. Die dabei berücksichtigten Stundenangaben orientierten sich an vergleichbaren Fällen und dafür angemessenen Honorarnoten. Bei rund 300 Berufungen im Jahr verfüge das Obergericht über einen grossen Erfahrungswert. Spar- gründe spielten keine Rolle. Die Strafkammer bemisst die Pauschale nur ungenügend nach den konkre- ten Verhältnissen. Es wird nicht klar, welcher Aufwand sachfremd oder über- trieben sei, was die Verteidigung hätte tun oder unterlassen sollen. Die Be- messung der Pauschale kann von der Beschwerdekammer anhand der Be- gründung nicht zuverlässig überprüft werden. Sollten die vier Begründungs- punkte zur überhöhten Honorarnote (vgl. vorstehende Erwägungen 3.5, 3.2) auch in die Bemessung der Pauschale eingeflossen sein, so wäre dies zu- mindest teilweise nicht sachgerecht: Die Verteidigung vor der Vorinstanz er- spart zwar eine Einarbeitung in die tatsächlichen und rechtlichen Fragen der Strafsache. Die Entschädigung im Verfahren vor Bezirksgericht entschädigt aber nicht auch Aufwand der Verteidigung im Verfahren vor der Strafkam- mer. Offenbar wurde hier zusätzlich eine schriftliche Begründung der Beru- fung verlangt und aus der reinen Kenntnis des Falles schreibt diese sich nicht selbst. Die Verteidigung muss sich vielmehr mit der Begründung der unteren Instanz sowie den Vorbringen der Staatsanwaltschaft auseinandersetzen und ihr Plädoyer vorbereiten. Dem Rechtsmittelsystem der "double instance" ist zudem inhärent, dass vor der oberen Instanz auch gleiche Rechtsfragen nochmals aufgeworfen werden dürfen (resp. für einen Weiterzug ans Bun-</w:t>
      </w:r>
    </w:p>
    <w:p>
      <w:r>
        <w:t>- 9 -</w:t>
      </w:r>
    </w:p>
    <w:p>
      <w:r>
        <w:t>desgericht, müssen). Massgeblich für die Entschädigung der amtlichen Ver- teidigung durch die Strafkammer ist, ob die konkreten Rechts- und Tatfragen den Aufwand im Berufungsverfahren selbst rechtfertigen. 3.7 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 3.8 Die Beschwerdekammer hatte jüngst mehrfach Anlass, sich mit Fällen von Pauschalentschädigungen durch das Obergericht des Kantons Aargau zu befassen (vgl. die Entscheide vom heutigen Datum BB.2020.5; BB.2020.1; BB.2019.280; BB.2019.269; BB.2019.256; BB.2019.203; BB.2019.118; BB.2019.77). Entschädigt die Strafkammer wie vorliegend pauschal – ohne dass eine pauschale Festsetzung nach Rahmentarif vorgesehen ist – so be- 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 sche Bundesverfassung, St. Galler Kommentar, 3. Aufl. 2014, Art. 5 N. 32 ff.; HÄFELIN/MÜLLER/UHLMANN, Allgemeines Verwaltungsrecht, 7. Aufl. 2016, S. 80–85). Es tangiert auch den Individualanspruch des Beschuldigten auf wirksame Verteidigung. Die Kantone Zürich und St. Gallen umschreiben die Pauschalen auf Verordnungsstufe. Ein generell-abstrakter und genügend bestimmter Rechtssatz stellt sicher, dass die Entschädigung für die amtli- 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w:t>
      </w:r>
    </w:p>
    <w:p>
      <w:r>
        <w:t>- 10 -</w:t>
      </w:r>
    </w:p>
    <w:p>
      <w:r>
        <w:t>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 3.9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w:t>
      </w:r>
    </w:p>
    <w:p>
      <w:r>
        <w:t>- 11 -</w:t>
      </w:r>
    </w:p>
    <w:p>
      <w:r>
        <w:t>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 3.10 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w:t>
      </w:r>
    </w:p>
    <w:p>
      <w:r>
        <w:t>- 12 -</w:t>
      </w:r>
    </w:p>
    <w:p>
      <w:r>
        <w:t>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 fahrensschritt) dienlich und zumutbar. Zumindest in Honorarbeschwerdever- fahren vor der Beschwerdekammer machen dies Verteidiger. Spezifische Anforderungen wären der amtlichen Verteidigung mit Vorteil bereits bei Be- ginn des Berufungsverfahrens mitzuteilen.</w:t>
      </w:r>
    </w:p>
    <w:p>
      <w:r>
        <w:t>4.</w:t>
      </w:r>
    </w:p>
    <w:p>
      <w:r>
        <w:t>4.1 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 4.2 Die Gehörsverletzung kann vorliegend von der Beschwerdekammer nicht geheilt werden. Die strukturell fehlende Begründung erlaubt nicht, ein Hono- rar selbst festzusetzen. Die Gehörsverletzungen betreffen überdies zu viele Fälle, als dass eine Heilung angezeigt wäre (vgl. die Entscheide vom heuti- gen Datum BB.2020.5; BB.2020.1; BB.2019.280; BB.2019.269; BB.2019.256; BB.2019.203; BB.2019.118; BB.2019.77; so schon Be- schlüsse des Bundesstrafgerichts BB.2016.365 vom 1. Juni 2017 E. 4.5; BB.2016.285 vom 26. August 2016 E. 4.3; BB.2016.252 vom 31. August 2016 E. 4.3; BB.2016.93 vom 8. September 2016 E. 3.5). Erlaubt das ange-</w:t>
      </w:r>
    </w:p>
    <w:p>
      <w:r>
        <w:t>- 13 -</w:t>
      </w:r>
    </w:p>
    <w:p>
      <w:r>
        <w:t>fochtene Urteil keinen reformatorischen Entscheid und ist eine Kassation an- gezeigt, so obsiegt der amtliche Verteidiger vollumfänglich (vgl. nur BGE 137 V 210 E. 7.1). Die Beschwerde ist dementsprechend gutzuheissen und Dis- positiv Ziffer 5.2 (1. Absatz) des angefochtenen Urteils ist antragsgemäss aufzuheben. Das Verfahren ist an das Obergericht des Kantons Aargau, Strafkammer, zu neuem Entscheid über die Entschädigung der amtlichen Verteidigung zurückzuweisen.</w:t>
      </w:r>
    </w:p>
    <w:p>
      <w:r>
        <w:t>5.</w:t>
      </w:r>
    </w:p>
    <w:p>
      <w:r>
        <w:t>5.1 Bei diesem Ausgang des Verfahrens sind keine Gerichtskosten zu erheben. 5.2 Der obsiegende amtliche Verteidiger hat Anspruch auf eine Prozessentschä- digung (vgl. Art. 436 Abs. 1 i.V.m. Art. 429 Abs. 1 lit. a StPO). Er hat am 21. Oktober 2019 eine Honorarnote eingereicht. Die geltend gemachten 10 Stunden Bemühungen sind ausgewiesen und angemessen. (vgl. Art. 10 und 12 Abs. 2 des Reglements des Bundesstrafgerichts vom 31. August 2010 über die Kosten, Gebühren und Entschädigungen in Bundesstrafver- fahren; BStKR, SR 173.713.162). Der Stundenansatz beträgt vorliegend Fr. 230--. Entsprechend ist das Obergericht des Kantons Aargau zu ver- pflichten, Rechtsanwalt A. für das Honorarbeschwerdeverfahren antragsge- mäss eine Prozessentschädigung von Fr. 2'230.05.-- (inkl. Barauslagen und MwSt.) zu bezahlen.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