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BB.2019.207-A vom 18. November 2019</w:t>
      </w:r>
    </w:p>
    <w:p>
      <w:r>
        <w:t>Bundesstrafgericht, 2019-11-18, FR</w:t>
      </w:r>
    </w:p>
    <w:p>
      <w:r>
        <w:rPr>
          <w:b/>
        </w:rPr>
        <w:t xml:space="preserve">Quelle: </w:t>
      </w:r>
      <w:r>
        <w:t>https://mcp.opencaselaw.ch/entscheid/bstger_BB.2019.207-A</w:t>
      </w:r>
    </w:p>
    <w:p>
      <w:r>
        <w:t>FR: TPF BB.2019.207-A du 18 novembre 2019</w:t>
      </w:r>
    </w:p>
    <w:p>
      <w:r>
        <w:t>IT: TPF BB.2019.207-A del 18 novembre 2019</w:t>
      </w:r>
    </w:p>
    <w:p>
      <w:pPr>
        <w:pStyle w:val="Heading2"/>
      </w:pPr>
      <w:r>
        <w:t>Regeste</w:t>
      </w:r>
    </w:p>
    <w:p>
      <w:r>
        <w:t>Indemnité du défenseur d'office (art. 135 al. 3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procédure BB.2019.207 est suspendue jusqu’à droit jugé par le Tribunal fédéral dans la cause 6B_1237/2019 quant à la révocation du mandat du défenseur d’office par la Cour d’appel pénale du Tribunal cantonal vaudois.</w:t>
      </w:r>
    </w:p>
    <w:p>
      <w:r>
        <w:rPr>
          <w:b/>
        </w:rPr>
        <w:t>E. 2</w:t>
      </w:r>
    </w:p>
    <w:p>
      <w:r>
        <w:t>Les parties sont invitées à transmettre une copie de l’arrêt du Tribunal fédéral dans la cause 6B_1237/2019 dès sa réception.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18 novembre 2019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Me A. (avec copie des observations du TC-VD) - Tribunal cantonal, Cour d’appel pénale (avec copie des observations de Me A)</w:t>
      </w:r>
    </w:p>
    <w:p>
      <w:r>
        <w:t>Indication des voies de recours Il n'existe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