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 vom 22. Januar 2019</w:t>
      </w:r>
    </w:p>
    <w:p>
      <w:r>
        <w:t>Bundesstrafgericht, 2019-01-22, DE</w:t>
      </w:r>
    </w:p>
    <w:p>
      <w:r>
        <w:rPr>
          <w:b/>
        </w:rPr>
        <w:t xml:space="preserve">Quelle: </w:t>
      </w:r>
      <w:r>
        <w:t>https://mcp.opencaselaw.ch/entscheid/bstger_BB.2019.2</w:t>
      </w:r>
    </w:p>
    <w:p>
      <w:r>
        <w:t>FR: TPF BB.2019.2 du 22 janvier 2019</w:t>
      </w:r>
    </w:p>
    <w:p>
      <w:r>
        <w:t>IT: TPF BB.2019.2 del 22 gennaio 2019</w:t>
      </w:r>
    </w:p>
    <w:p>
      <w:pPr>
        <w:pStyle w:val="Heading2"/>
      </w:pPr>
      <w:r>
        <w:t>Regeste</w:t>
      </w:r>
    </w:p>
    <w:p>
      <w:r>
        <w:t>Nichtanhandnahmeverfügung (Art. 310 i.V.m. Art. 322 Abs. 2 StPO). Ausstand der Bundesanwaltschaft (Art. 59 Abs. 1 lit. b i.V.m. Art. 56 StPO). Ausstand von Mitgliedern der Beschwerdekammer (Art. 59 Abs. 1 lit. c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bei der Beschwerdekammer des Bundesstrafgerichts Beschwerde erhoben werden kann (Art. 393 Abs. 1 lit. a StPO und Art. 396 Abs. 1 StPO i.V.m. Art. 37 Abs. 1 StBOG);</w:t>
      </w:r>
    </w:p>
    <w:p>
      <w:r>
        <w:t>- die zehntägige Beschwerdefrist mit der Zustellung des schriftlichen Entschei- des zu laufen beginnt (Art. 384 lit. b StPO);</w:t>
      </w:r>
    </w:p>
    <w:p>
      <w:r>
        <w:t>- die Zustellung durch eingeschriebene Postsendung oder auf andere Weise gegen Empfangsbestätigung, insbesondere durch die Polizei, erfolgt (Art. 85 Abs. 2 StPO);</w:t>
      </w:r>
    </w:p>
    <w:p>
      <w:r>
        <w:t>- die Zustellung als erfolgt gilt, wenn die Sendung von der Adressatin oder dem Adressaten oder von einer angestellten oder im gleichen Haushalt le- benden, mindestens 16 Jahre alten Person entgegengenommen wurde (Art. 85 Abs. 3 StPO);</w:t>
      </w:r>
    </w:p>
    <w:p>
      <w:r>
        <w:t>- vorliegend der einzelzeichnungsberechtigte Verwaltungsrat der Beschwer- deführerin geltend macht, den angefochtenen Entscheid erst kürzlich vor der Bürotür gefunden zu haben (act. 1 S. 1);</w:t>
      </w:r>
    </w:p>
    <w:p>
      <w:r>
        <w:t>- dem „Track &amp; Trace“-Auszug der Schweizerischen Post entnommen werden kann, dass die Zustellung der eingeschriebenen Postsendung an den Nach- barn erfolgte (act. 5);</w:t>
      </w:r>
    </w:p>
    <w:p>
      <w:r>
        <w:t>- die Zustellung an den Nachbarn in der StPO nicht als eine gültige Zustel- lungsmöglichkeit aufgeführt wird; auch die allgemeinen Geschäftsbedingun- gen der Post diese Zustellungsform nur bei Paket-, Kurier- und Expresssen- dungen vorsehen (vgl. Ziff. 2.5.5 der allgemeinen Geschäftsbedingungen „Postdienstleistungen“);</w:t>
      </w:r>
    </w:p>
    <w:p>
      <w:r>
        <w:t>- der angefochtene Entscheid daher der Beschwerdeführerin in Verletzung von Art. 85 Abs. 2 StPO eröffnet worden ist;</w:t>
      </w:r>
    </w:p>
    <w:p>
      <w:r>
        <w:t>- 5 -</w:t>
      </w:r>
    </w:p>
    <w:p>
      <w:r>
        <w:t>- amtliche Prozesshandlungen, die gegen Verfahrensvorschriften verstossen, grundsätzlich nur anfechtbar und nicht unwirksam sind, es sei denn, das Ge- setz ordne ausdrücklich die Unwirksamkeit der Prozesshandlung an bzw. dem Betroffenen erwachsen unmittelbar Rechtsnachteile aus der Verletzung der Verfahrensvorschrift;</w:t>
      </w:r>
    </w:p>
    <w:p>
      <w:r>
        <w:t>- die StPO keine Rechtsfolgen enthält für den Fall einer Verletzung von Art. 85 Abs. 2 StPO; die Zustellungsvorschriften ausschliesslich Beweisfunktion ha- ben, deren Nichtbeachtung grundsätzlich keine Rechtswirkungen entfaltet (vgl. Urteil des Bundesgerichts 6B_390/2013 vom 6. Februar 2014 E. 2.3.2);</w:t>
      </w:r>
    </w:p>
    <w:p>
      <w:r>
        <w:t>- im vorliegenden Fall die Beschwerdefrist daher mit der tatsächlichen Kennt- nisnahme des vorinstanzlichen Entscheides durch die Beschwerdeführerin zu laufen beginnt;</w:t>
      </w:r>
    </w:p>
    <w:p>
      <w:r>
        <w:t>- allerdings unbekannt ist, wann die Beschwerdeführerin Kenntnis vom ange- fochtenen Entscheid erhalten hat, sodass nicht beurteilt werden kann, ob die Beschwerde innert der zehntägigen Beschwerdefrist erhoben worden ist;</w:t>
      </w:r>
    </w:p>
    <w:p>
      <w:r>
        <w:t>- diese Frage in Anbetracht des Verfahrensausgangs offen bleiben kann;</w:t>
      </w:r>
    </w:p>
    <w:p>
      <w:r>
        <w:t>- die Bundesanwaltschaft mit Nichtanhandnahmeverfügung vom 28. Okto- ber 2018 mangels hinreichenden Tatverdachts keine Strafuntersuchung er- öffnete;</w:t>
      </w:r>
    </w:p>
    <w:p>
      <w:r>
        <w:t>- Hintergrund der Strafanzeige der Beschwerdeführerin vom 14. April 2018 of- fenbar eine Verfügung des Bundesamtes D. vom 23. März 2018 ist, wonach die Beschwerdeführerin vom Vergabeverfahren einer Ausschreibung ausge- schlossen wurde;</w:t>
      </w:r>
    </w:p>
    <w:p>
      <w:r>
        <w:t>- der Ausschluss vom Verfahren insbesondere damit begründet worden ist, dass die Organe der Beschwerdeführerin beabsichtigen würden, den Wett- bewerb im Ausschreibungsverfahren in beschaffungsrechtlicher unzulässi- ger Art und Weise zu beeinflussen, weshalb es an der für eine fruchtbare Geschäftsbeziehung erforderlichen Vertrauensbasis zwischen der Schwei- zerischen Eidgenossenschaft als Auftraggeberin und der Beschwerdeführe- rin als Anbieterin fehle (Verfahrensakten BA, Ordner, Lasche 3);</w:t>
      </w:r>
    </w:p>
    <w:p>
      <w:r>
        <w:t>- in ihrer Anzeige bzw. der beiliegenden Eingabe an das Bundesverwaltungs- gericht offensichtlich kein konkreter Sachverhalt entnommen werden kann, der einen hinreichenden Tatverdacht der Mitgliedschaft in einer kriminellen</w:t>
      </w:r>
    </w:p>
    <w:p>
      <w:r>
        <w:t>- 6 -</w:t>
      </w:r>
    </w:p>
    <w:p>
      <w:r>
        <w:t>Organisation im Sinne von Art. 260ter StGB, der ungetreuen Amtsführung im Sinne von Art. 314 StGB oder der Veruntreuung im Sinne von Art. 138 Ziff. 2 StGB begründen könnte;</w:t>
      </w:r>
    </w:p>
    <w:p>
      <w:r>
        <w:t>- der Vorwurf des Verstosses gegen das Vergaberecht und die unrechtmäs- sige Vertragsvergabe – soweit aus den Akten ersichtlich – Gegenstand eines separaten Verfahrens beim Bundesverwaltungsgericht ist;</w:t>
      </w:r>
    </w:p>
    <w:p>
      <w:r>
        <w:t>- schliesslich die angeblichen Verstösse gegen Ehrverletzungsdelikte ohnehin nicht unter Bundeskompetenz fallen (Art. 24 StPO);</w:t>
      </w:r>
    </w:p>
    <w:p>
      <w:r>
        <w:t>- die Bundesanwaltschaft daher zu Recht keine Strafuntersuchung eröffnet hat;</w:t>
      </w:r>
    </w:p>
    <w:p>
      <w:r>
        <w:t>- sich die Beschwerde als offensichtlich unbegründet erweist, weshalb sie ab- zuweisen ist;</w:t>
      </w:r>
    </w:p>
    <w:p>
      <w:r>
        <w:t>- die Gerichtsgebühr auf Fr. 500.-- festzusetzen ist (Art. 73 StBOG und Art. 5 und 8 Abs. 1 BStKR).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