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BB.2019.197 vom 10. Januar 2020</w:t>
      </w:r>
    </w:p>
    <w:p>
      <w:r>
        <w:t>Bundesstrafgericht, 2020-01-10, FR</w:t>
      </w:r>
    </w:p>
    <w:p>
      <w:r>
        <w:rPr>
          <w:b/>
        </w:rPr>
        <w:t xml:space="preserve">Quelle: </w:t>
      </w:r>
      <w:r>
        <w:t>https://mcp.opencaselaw.ch/entscheid/bstger_BB.2019.197</w:t>
      </w:r>
    </w:p>
    <w:p>
      <w:r>
        <w:t>FR: TPF BB.2019.197 du 10 janvier 2020</w:t>
      </w:r>
    </w:p>
    <w:p>
      <w:r>
        <w:t>IT: TPF BB.2019.197 del 10 gennaio 2020</w:t>
      </w:r>
    </w:p>
    <w:p>
      <w:pPr>
        <w:pStyle w:val="Heading2"/>
      </w:pPr>
      <w:r>
        <w:t>Regeste</w:t>
      </w:r>
    </w:p>
    <w:p>
      <w:r>
        <w:t>Admission de la partie plaignante (art. 118 ss en lien avec l'art. 104 al. 1 let. b CPP); assistance judiciaire (art. 136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i.f.; STRÄULI, Introduction aux art. 393-397 CPP in Commentaire romand, 2ème éd. 2019, n° 10; GUIDON, in Basler Kommentar, Schweizerische Straprozessordnung 2ème éd. 2014, n° 15 ad art. 393 CPP; KELLER, in Kommentar zur Schweizerischen Strafprozessordnung, 2ème éd. 2014, n° 39 ad art. 393 CPP; MOREILLON/ DUPUIS/ MAZOU, La pratique judiciaire du Tribunal pénal fédéral en 2011, in JdT 2012 IV 2, p. 52 n° 199 et les références citées).</w:t>
      </w:r>
    </w:p>
    <w:p>
      <w:r>
        <w:rPr>
          <w:b/>
        </w:rPr>
        <w:t>E. 1.2</w:t>
      </w:r>
    </w:p>
    <w:p>
      <w:r>
        <w:t>Les décisions du MPC peuvent faire l’objet d’un recours devant la Cour de céans (art. 393 al. 1 let. a CPP et art. 37 al. 1 de la loi fédérale sur l’organisation des autorités pénales de la Confédération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16 septembre 2019, le présent recours a été déposé dans le délai de dix jours dès la notification du prononcé attaqué. Il a ainsi été formé en temps utile.</w:t>
      </w:r>
    </w:p>
    <w:p>
      <w:r>
        <w:rPr>
          <w:b/>
        </w:rPr>
        <w:t>E. 1.3</w:t>
      </w:r>
    </w:p>
    <w:p>
      <w:r>
        <w:t>Le recours est recevable à condition que le recourant dispose d’un intérêt juridiquement protégé à l’annulation ou à la modification de la décision entreprise (art. 382 al. 1 CPP). Le recourant doit avoir subi une lésion, c’est- à-dire un préjudice causé par l’acte qu’il attaque et doit avoir un intérêt juridique à l’élimination de ce préjudice (CALAME, Commentaire romand, op. cit., n° 1 ad art. 382 CPP).</w:t>
      </w:r>
    </w:p>
    <w:p>
      <w:r>
        <w:rPr>
          <w:b/>
        </w:rPr>
        <w:t>E. 1.3.1</w:t>
      </w:r>
    </w:p>
    <w:p>
      <w:r>
        <w:t>Selon la jurisprudence de la Cour de céans, le prévenu ne dispose en principe pas d’intérêt juridiquement protégé pour s’en prendre à une décision admettant une partie plaignante à la procédure dirigée à son encontre. L’atteinte subie par ledit prévenu en pareille hypothèse étant de manière générale purement factuelle (v. décision du Tribunal pénal fédéral BB.2013.38 du 29 juillet 2013 consid. 1.2). A titre exceptionnel toutefois, l’existence d’un tel intérêt a été reconnue, et ce lorsque la partie plaignante admise à la procédure est un Etat (TPF 2012 48 consid. 1.3.1; décisions du Tribunal pénal fédéral BB.2011.107 du 30 avril 2012 consid. 1.5;</w:t>
      </w:r>
    </w:p>
    <w:p>
      <w:r>
        <w:t>- 4 -</w:t>
      </w:r>
    </w:p>
    <w:p>
      <w:r>
        <w:t>BB.2012.101 du 22 janvier 2013 consid. 1.3), ou lorsque le sujet de droit en question est de nature « quasi-étatique » (décisions du Tribunal pénal fédéral BB.2012.107 du 15 mai 2013 consid. 1.3; BB.2012.194 du 2 juillet 2013 consid. 2.1).</w:t>
      </w:r>
    </w:p>
    <w:p>
      <w:r>
        <w:rPr>
          <w:b/>
        </w:rPr>
        <w:t>E. 1.3.2</w:t>
      </w:r>
    </w:p>
    <w:p>
      <w:r>
        <w:t>En l’espèce, la partie plaignante admise à la procédure est une personne physique à savoir B. Celui-ci avait déjà été admis en tant que partie plaignante lors de l’ouverture de la procédure par le MPC en 2011. Par ailleurs, aucun élément allégué et/ou produit par les parties au cours de l’échange d’écritures intervenu en lien avec la présente procédure ne permet d’assimiler B. comme représentant d’une institution « quasi-étatique ». Partant, et en l’absence de tout élément permettant de retenir l’existence d’un cas exceptionnel dans lequel un intérêt juridiquement protégé devrait être reconnu au prévenu qui entendrait s’en prendre à la décision admettant une partie plaignante non-étatique à la procédure dirigée contre lui, il ne saurait être entré en matière sur le recours.</w:t>
      </w:r>
    </w:p>
    <w:p>
      <w:r>
        <w:rPr>
          <w:b/>
        </w:rPr>
        <w:t>E. 2</w:t>
      </w:r>
    </w:p>
    <w:p>
      <w:r>
        <w:t>Au vu de ce qui précède, le recours doit être déclaré irrecevable.</w:t>
      </w:r>
    </w:p>
    <w:p>
      <w:r>
        <w:rPr>
          <w:b/>
        </w:rPr>
        <w:t>E. 3</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1'500.--, à la charge du recourant.</w:t>
      </w:r>
    </w:p>
    <w:p>
      <w:r>
        <w:rPr>
          <w:b/>
        </w:rPr>
        <w:t>E. 4</w:t>
      </w:r>
    </w:p>
    <w:p>
      <w:r>
        <w:t>La partie qui obtient gain de cause a droit à une indemnité pour les dépenses occasionnées par l’exercice raisonnable de ses droits de procédure (art. 436 al. 1 en lien avec l’art. 429 al. 1 let. a CPP). En l’espèce, au vu du sort du recours et des conclusions prises par B., ce dernier doit être considéré comme obtenant gain de cause. Selon l’art. 12 al. 2 RFPPF, lorsque l’avocat ne fait pas parvenir le décompte de ses prestations dans la procédure devant la Cour des plaintes, avec son unique ou sa dernière écriture, le montant des honoraires est fixé selon l’appréciation de la Cour. En l’espèce, une indemnité d’un montant de CHF 1'000.-- (TVA comprise) sera allouée à B., à charge du recourant. La demande d’assistance judiciaire de B. devient donc sans objet.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