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BB.2019.195 vom 4. Oktober 2019</w:t>
      </w:r>
    </w:p>
    <w:p>
      <w:r>
        <w:t>Bundesstrafgericht, 2019-10-04, DE</w:t>
      </w:r>
    </w:p>
    <w:p>
      <w:r>
        <w:rPr>
          <w:b/>
        </w:rPr>
        <w:t xml:space="preserve">Quelle: </w:t>
      </w:r>
      <w:r>
        <w:t>https://mcp.opencaselaw.ch/entscheid/bstger_BB.2019.195</w:t>
      </w:r>
    </w:p>
    <w:p>
      <w:r>
        <w:t>FR: TPF BB.2019.195 du 4 octobre 2019</w:t>
      </w:r>
    </w:p>
    <w:p>
      <w:r>
        <w:t>IT: TPF BB.2019.195 del 4 ottobre 2019</w:t>
      </w:r>
    </w:p>
    <w:p>
      <w:pPr>
        <w:pStyle w:val="Heading2"/>
      </w:pPr>
      <w:r>
        <w:t>Regeste</w:t>
      </w:r>
    </w:p>
    <w:p>
      <w:r>
        <w:t>Erstreckung von Fristen (Art. 92 StPO). Verfahrenshandlung der Bundesanwaltschaft (Art. 20 Abs. 1 lit. b i.V.m. Art. 393 Abs. 1 lit. a StPO). Amtliche Verteidigung im Beschwerdeverfahren (Art. 132 Abs. 1 lit. b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September 2019 bis zum 13. September 2019 (letztmals) erstreckt hat (act. 1.2);</w:t>
      </w:r>
    </w:p>
    <w:p>
      <w:r>
        <w:t>- weder gegen die Ansetzung einer Frist in Anwendung von Art. 318 Abs. 1 StPO noch gegen die Ablehnung eines Gesuchs um Erstreckung einer nach Art. 318 Abs. 1 StPO angesetzten Frist Beschwerde erhoben wer- den kann (TPF 2011 60);</w:t>
      </w:r>
    </w:p>
    <w:p>
      <w:r>
        <w:t>- damit auf die Beschwerde, die sich gegen die von der Bundesanwaltschaft lediglich teilweise gewährte Erstreckung einer im Rahmen von Art. 318 Abs. 1 StPO angesetzten Frist richtet, nicht einzutreten ist;</w:t>
      </w:r>
    </w:p>
    <w:p>
      <w:r>
        <w:t>- die vom damaligen Referenten mit Schreiben vom 12. September 2019 an- geordnete einstweilige Massnahme (Fristabnahme) damit gegenstandslos geworden ist; sich diese Massnahme zum damaligen Zeitpunkt deshalb auf- drängte, weil sich alleine gestützt auf die Beschwerde und deren Beilagen der entscheidrelevante Sachverhalt nicht ermitteln liess und daher zunächst die vorinstanzlichen Verfahrensakten und die Beschwerdeantwort eingeholt werden mussten;</w:t>
      </w:r>
    </w:p>
    <w:p>
      <w:r>
        <w:t>- der Beschwerdeführer um unentgeltliche Prozessführung und Verbeistän- dung durch seinen amtlichen Verteidiger ersucht (BP.2019.72 act. 1); dieses Gesuch ohne Überprüfung der finanziellen Situation des Beschwerdeführers abzuweisen ist, da die vorliegende Beschwerde – wie dargelegt – als aus- sichtslos zu bezeichnen ist (vgl. Urteil des Bundesgerichts 1B_705/2011 vom 9. Mai 2012 E. 2.3.2);</w:t>
      </w:r>
    </w:p>
    <w:p>
      <w:r>
        <w:t>- bei diesem Ausgang des Verfahrens die Gerichtskosten dem unterliegenden Beschwerdeführer aufzuerlegen sind (Art. 428 Abs. 1 StPO);</w:t>
      </w:r>
    </w:p>
    <w:p>
      <w:r>
        <w:t>- die Gerichtsgebühr auf Fr. 1'000.-- festzusetzen ist (Art. 73 StBOG i.V.m.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