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BB.2019.18 vom 14. Februar 2019</w:t>
      </w:r>
    </w:p>
    <w:p>
      <w:r>
        <w:t>Bundesstrafgericht, 2019-02-14, FR</w:t>
      </w:r>
    </w:p>
    <w:p>
      <w:r>
        <w:rPr>
          <w:b/>
        </w:rPr>
        <w:t xml:space="preserve">Quelle: </w:t>
      </w:r>
      <w:r>
        <w:t>https://mcp.opencaselaw.ch/entscheid/bstger_BB.2019.18</w:t>
      </w:r>
    </w:p>
    <w:p>
      <w:r>
        <w:t>FR: TPF BB.2019.18 du 14 février 2019</w:t>
      </w:r>
    </w:p>
    <w:p>
      <w:r>
        <w:t>IT: TPF BB.2019.18 del 14 febbraio 2019</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du Tribunal pénal fédéral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2014, n° 15 ad art. 393; KELLER, Kommentar zur Schweizerischen Strafprozessordnung [StPO], Donatsch/Hansjakob/Lieber [édit.], 2e éd. 2014, n° 39 ad art. 393; SCHMID, Handbuch des schweizerischen Strafprozessrechts, 3e éd. 2017,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Le recours contre les décisions notifiées par écrit ou oralement devant être motivé et adressé par écrit, dans le délai de dix jours, à l’autorité de recours (art. 396 al. 1 CPP). Ledit délai a en l’espèce été respecté.</w:t>
      </w:r>
    </w:p>
    <w:p>
      <w:r>
        <w:t>- 3 -</w:t>
      </w:r>
    </w:p>
    <w:p>
      <w:r>
        <w:rPr>
          <w:b/>
        </w:rPr>
        <w:t>E. 1.3.1</w:t>
      </w:r>
    </w:p>
    <w:p>
      <w:r>
        <w:t>Dispose de la qualité pour recourir toute partie qui a un intérêt juridiquement protégé à l’annulation ou à la modification d’une décision (art. 382 al. 1 CPP; arrêt du Tribunal fédéral 1B_657/2012 du 8 mars 2013 consid. 2.3.1). Cet intérêt doit être actuel (décision du Tribunal pénal fédéral BB.2013.88 du 13 septembre 2013 consid. 1.4 et références citées). La notion de partie visée par cette disposition doit être comprise au sens des art. 104 et 105 CPP.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 L’art.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rPr>
          <w:b/>
        </w:rPr>
        <w:t>E. 1.3.2</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CPP, p. 1148).</w:t>
      </w:r>
    </w:p>
    <w:p>
      <w:r>
        <w:rPr>
          <w:b/>
        </w:rPr>
        <w:t>E. 1.3.3</w:t>
      </w:r>
    </w:p>
    <w:p>
      <w:r>
        <w:t>Il est généralement admis que l’infraction d’abus d’autorité (art. 312 CP) protège tant l’intérêt de l’Etat à pouvoir compter sur des fonctionnaires fiables faisant usage raisonné du pouvoir de puissance publique qui leur a été conféré que celui des citoyens à n’être pas en but à un exercice incontrôlé, arbitraire, du pouvoir ainsi confié, le fait que l’art. 312 CP institue en condition subjective le dessein de nuire à autrui plaidant clairement en faveur de la protection, en plus des intérêts publics, de ceux, privés, de tiers (ATF 127 IV 209 consid. 1b p. 212; arrêt du Tribunal fédéral 6B_138/2017 du 9 février 2018 consid. 7.2.3 et les références citées). On doit ainsi admettre que l’infraction d’abus d’autorité dénoncée par le recourant a notamment pour but de protéger ses intérêts privés, de sorte qu’il a la qualité de partie plaignante et donc la qualité pour recourir.</w:t>
      </w:r>
    </w:p>
    <w:p>
      <w:r>
        <w:rPr>
          <w:b/>
        </w:rPr>
        <w:t>E. 2</w:t>
      </w:r>
    </w:p>
    <w:p>
      <w:r>
        <w:t>Le recourant conteste le bien-fondé de l’ordonnance de non-entrée en matière (act. 1).</w:t>
      </w:r>
    </w:p>
    <w:p>
      <w:r>
        <w:t>- 4 -</w:t>
      </w:r>
    </w:p>
    <w:p>
      <w:r>
        <w:rPr>
          <w:b/>
        </w:rPr>
        <w:t>E. 2.1</w:t>
      </w:r>
    </w:p>
    <w:p>
      <w:r>
        <w:t>Aux termes de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(al. 1, let. a), qu’il existe des empêchements de procéder (al. 1, let. b) et que les conditions mentionnées à l’art. 8 imposent de renoncer à l’ouverture d’une poursuite pénale (al. 1, let. c). Au surplus, les dispositions sur le classement de la procédure sont applicables (al. 2).</w:t>
      </w:r>
    </w:p>
    <w:p>
      <w:r>
        <w:rPr>
          <w:b/>
        </w:rPr>
        <w:t>E. 2.2.1</w:t>
      </w:r>
    </w:p>
    <w:p>
      <w:r>
        <w:t>Selon l’art. 312 CP, les membres d’une autorité et les fonctionnaires qui, dans le dessein de se procurer ou de procurer à un tiers un avantage illicite ou, dans le dessein de nuire à autrui, auront abusé des pouvoirs de leur charge seront punis de la réclusion pour cinq ans au plus ou de l’emprisonnement. Cette disposition punit l’abus d’autorité, soit l’emploi de pouvoirs officiels dans un but contraire à celui recherché (ATF 127 IV 209 consid. 1b p. 212).</w:t>
      </w:r>
    </w:p>
    <w:p>
      <w:r>
        <w:rPr>
          <w:b/>
        </w:rPr>
        <w:t>E. 2.2.2</w:t>
      </w:r>
    </w:p>
    <w:p>
      <w:r>
        <w:t>Sur le plan objectif, l’infraction réprimée par cette disposition suppose que l’auteur soit un membre d’une autorité ou un fonctionnaire au sens de l’art. 110 al. 3 CP, qu’il ait agit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114 IV 41 consid. 2 p. 43; 113 IV 29 consid. 1 p. 30). L’infraction peut aussi être réalisée lorsque l’auteur poursuit un but légitime, mais recourt, pour l’atteindre, à des moyens disproportionnés (ATF 113 IV 29 consid. 1 p. 30; 104 IV 22 consid. 2 p. 23).</w:t>
      </w:r>
    </w:p>
    <w:p>
      <w:r>
        <w:rPr>
          <w:b/>
        </w:rPr>
        <w:t>E. 2.2.3</w:t>
      </w:r>
    </w:p>
    <w:p>
      <w:r>
        <w:t>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rPr>
          <w:b/>
        </w:rPr>
        <w:t>E. 2.2.4</w:t>
      </w:r>
    </w:p>
    <w:p>
      <w:r>
        <w:t>En l’espèce, et comme l’a constaté l’autorité intimée, aucun élément au dossier ne permet de retenir que B. se soit rendu coupable d’abus de pouvoir, ni qu’il ait eu un quelconque dessein de se procurer ou de procurer à un tiers un avantage illicite ou de nuire à autrui. Le seul élément que le recourant apporte à l’appui de son recours est l’arrêt du Tribunal fédéral du 29 mai 2018, lequel rejette le recours déposé par le recourant. Or à la lecture de l’arrêt, rien ne permet de retenir une éventuelle partialité ou un manque</w:t>
      </w:r>
    </w:p>
    <w:p>
      <w:r>
        <w:t>- 5 -</w:t>
      </w:r>
    </w:p>
    <w:p>
      <w:r>
        <w:t>d’objectivité de la Cour ou singulièrement du juge B.</w:t>
      </w:r>
    </w:p>
    <w:p>
      <w:r>
        <w:rPr>
          <w:b/>
        </w:rPr>
        <w:t>E. 3</w:t>
      </w:r>
    </w:p>
    <w:p>
      <w:r>
        <w:t>Il résulte de ce qui précède que le recours, manifestement infondé, doit être rejeté, sans échange d’écriture (art. 390 al. 2 CPP), et l’ordonnance du 25 septembre 2018 confirmée.</w:t>
      </w:r>
    </w:p>
    <w:p>
      <w:r>
        <w:rPr>
          <w:b/>
        </w:rPr>
        <w:t>E. 4</w:t>
      </w:r>
    </w:p>
    <w:p>
      <w:r>
        <w:t>En tant que partie qui succombe, le recourant supporte les frais de la présente procédure, en application de l’art. 428 al. 1 CPP. Ceux-ci prendront en l’espèce la forme d’un émolument fixé, en vertu des art. 5 et 8 al. 1 du règlement du Tribunal pénal fédéral du 31 août 2010 sur les frais, émoluments, dépens et indemnités de la procédure pénale fédérale (RS 173.713.162),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