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BB.2019.17 vom 17. Mai 2019</w:t>
      </w:r>
    </w:p>
    <w:p>
      <w:r>
        <w:t>Bundesstrafgericht, 2019-05-17, FR</w:t>
      </w:r>
    </w:p>
    <w:p>
      <w:r>
        <w:rPr>
          <w:b/>
        </w:rPr>
        <w:t xml:space="preserve">Quelle: </w:t>
      </w:r>
      <w:r>
        <w:t>https://mcp.opencaselaw.ch/entscheid/bstger_BB.2019.17</w:t>
      </w:r>
    </w:p>
    <w:p>
      <w:r>
        <w:t>FR: TPF BB.2019.17 du 17 mai 2019</w:t>
      </w:r>
    </w:p>
    <w:p>
      <w:r>
        <w:t>IT: TPF BB.2019.17 del 17 maggio 2019</w:t>
      </w:r>
    </w:p>
    <w:p>
      <w:pPr>
        <w:pStyle w:val="Heading2"/>
      </w:pPr>
      <w:r>
        <w:t>Regeste</w:t>
      </w:r>
    </w:p>
    <w:p>
      <w:r>
        <w:t>Reprise de la procédure préliminaire (art. 323 CPP).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décembre 2016 (act. 1.9), lequel apparaît d’emblée insuffisant à démontrer une responsabilité pénale de A. (art. 323 al. 1 let. a CPP); partant, le refus de reprise de la procédure préliminaire prononcé par le MPC ne prête pas le flanc à la critique et doit être confirmé (v. act. 1.5);</w:t>
      </w:r>
    </w:p>
    <w:p>
      <w:r>
        <w:t>- il ressort de ce qui précède que le recours, manifestement infondé, doit être rejeté dans la mesure de sa recevabilité;</w:t>
      </w:r>
    </w:p>
    <w:p>
      <w:r>
        <w:t>- au vu de la conclusion qui précède et en application de l’art. 390 al. 2 CPP, la Cour de céans a renoncé à procéder à un échange d’écritures;</w:t>
      </w:r>
    </w:p>
    <w:p>
      <w:r>
        <w:t>- en tant que partie qui succombe, le recourant doit supporter les frais de la présente décision (art. 428 al. 1 CPP), lesquels sont fixés à CHF 500.-- (art. 5 et 8 al. 1 du règlement du Tribunal pénal fédéral sur les frais, émoluments, dépens et indemnités de la procédure pénale fédérale [RFPPF; RS 173.713.162]).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