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BB.2019.165 vom 18. September 2019</w:t>
      </w:r>
    </w:p>
    <w:p>
      <w:r>
        <w:t>Bundesstrafgericht, 2019-09-18, DE</w:t>
      </w:r>
    </w:p>
    <w:p>
      <w:r>
        <w:rPr>
          <w:b/>
        </w:rPr>
        <w:t xml:space="preserve">Quelle: </w:t>
      </w:r>
      <w:r>
        <w:t>https://mcp.opencaselaw.ch/entscheid/bstger_BB.2019.165</w:t>
      </w:r>
    </w:p>
    <w:p>
      <w:r>
        <w:t>FR: TPF BB.2019.165 du 18 septembre 2019</w:t>
      </w:r>
    </w:p>
    <w:p>
      <w:r>
        <w:t>IT: TPF BB.2019.165 del 18 settembre 2019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 Rechtsverweigerung / Rechtsverzögerung (Art. 393 Abs. 2 lit. a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Beschwerdeverfahren ist abzuschreiben, wenn die im Zeitpunkt der Be- schwerdeeinreichung gegebene Beschwer im Verlauf des Beschwerdever- fahrens dahinfällt und die Beschwerde gegenstandslos wird (GUIDON, Die Beschwerde gemäss Schweizerischer Strafprozessordnung, 2011, N. 554 m.w.H. in Fn 1959).</w:t>
      </w:r>
    </w:p>
    <w:p>
      <w:r>
        <w:rPr>
          <w:b/>
        </w:rPr>
        <w:t>E. 1.2</w:t>
      </w:r>
    </w:p>
    <w:p>
      <w:r>
        <w:t>Das aktuelle Interesse des Beschwerdeführers am vorliegenden Beschwer- deverfahren ist durch die mittlerweile erfolgte Aufhebung der Verfügung vom 15. Mai 2019 weggefallen, weshalb das Beschwerdeverfahren und das Ne- benverfahren betreffend aufschiebende Wirkung zufolge Gegenstandslosig- keit als erledigt abzuschreiben sind.</w:t>
      </w:r>
    </w:p>
    <w:p>
      <w:r>
        <w:t>- 5 -</w:t>
      </w:r>
    </w:p>
    <w:p>
      <w:r>
        <w:rPr>
          <w:b/>
        </w:rPr>
        <w:t>E. 2.1</w:t>
      </w:r>
    </w:p>
    <w:p>
      <w:r>
        <w:t>Bei Eintritt der Gegenstandslosigkeit eines Beschwerdeverfahrens wird die- jenige Partei kosten- und entschädigungspflichtig, welche die Gegenstands- losigkeit des Rechtsmittels verursachte (TPF 2011 31 m.w.H.; vgl. zuletzt u. a. die Beschlüsse des Bundesstrafgerichts BB.2019.54 vom 30. Juli 2019 E. 4.1; BB.2019.109 vom 25. Juli 2019). Vorliegend hat die Beschwerdegeg- nerin die Gegenstandslosigkeit zu vertreten und wird damit grundsätzlich kosten- und entschädigungspflichtig.</w:t>
      </w:r>
    </w:p>
    <w:p>
      <w:r>
        <w:rPr>
          <w:b/>
        </w:rPr>
        <w:t>E. 2.2</w:t>
      </w:r>
    </w:p>
    <w:p>
      <w:r>
        <w:t>Die Gerichtskosten sind bei diesem Ausgang des Verfahrens auf die Staats- kasse zu nehmen (Art. 423 Abs. 1 StPO).</w:t>
      </w:r>
    </w:p>
    <w:p>
      <w:r>
        <w:rPr>
          <w:b/>
        </w:rPr>
        <w:t>E. 2.3</w:t>
      </w:r>
    </w:p>
    <w:p>
      <w:r>
        <w:t>Dem Ausgang des Verfahrens entsprechend hat die Beschwerdegegnerin dem Beschwerdeführer eine Entschädigung für dessen Aufwendungen im vorliegenden Beschwerdeverfahren auszurichten (Art. 436 Abs. 1 i.V.m. Art. 429 Abs. 1 lit. a StPO). Diese ist pauschal auf Fr. 1‘000.– festzusetzen (Art. 10 und 12 Abs. 2 des Reglements des Bundesstrafgerichts vom 31. Au- gust 2010 über die Kosten, Gebühren und Entschädigungen in Bundesstraf- verfahren [BStKR; SR 173.713.162]).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