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BB.2019.147 vom 27. Mai 2020</w:t>
      </w:r>
    </w:p>
    <w:p>
      <w:r>
        <w:t>Bundesstrafgericht, 2020-05-27, FR</w:t>
      </w:r>
    </w:p>
    <w:p>
      <w:r>
        <w:rPr>
          <w:b/>
        </w:rPr>
        <w:t xml:space="preserve">Quelle: </w:t>
      </w:r>
      <w:r>
        <w:t>https://mcp.opencaselaw.ch/entscheid/bstger_BB.2019.147</w:t>
      </w:r>
    </w:p>
    <w:p>
      <w:r>
        <w:t>FR: TPF BB.2019.147 du 27 mai 2020</w:t>
      </w:r>
    </w:p>
    <w:p>
      <w:r>
        <w:t>IT: TPF BB.2019.147 del 27 maggio 2020</w:t>
      </w:r>
    </w:p>
    <w:p>
      <w:pPr>
        <w:pStyle w:val="Heading2"/>
      </w:pPr>
      <w:r>
        <w:t>Regeste</w:t>
      </w:r>
    </w:p>
    <w:p>
      <w:r>
        <w:t>Déni de justice (art. 393 al. 2let.a CPP).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