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BB.2019.144 vom 12. Juli 2019</w:t>
      </w:r>
    </w:p>
    <w:p>
      <w:r>
        <w:t>Bundesstrafgericht, 2019-07-12, DE</w:t>
      </w:r>
    </w:p>
    <w:p>
      <w:r>
        <w:rPr>
          <w:b/>
        </w:rPr>
        <w:t xml:space="preserve">Quelle: </w:t>
      </w:r>
      <w:r>
        <w:t>https://mcp.opencaselaw.ch/entscheid/bstger_BB.2019.144</w:t>
      </w:r>
    </w:p>
    <w:p>
      <w:r>
        <w:t>FR: TPF BB.2019.144 du 12 juillet 2019</w:t>
      </w:r>
    </w:p>
    <w:p>
      <w:r>
        <w:t>IT: TPF BB.2019.144 del 12 luglio 2019</w:t>
      </w:r>
    </w:p>
    <w:p>
      <w:pPr>
        <w:pStyle w:val="Heading2"/>
      </w:pPr>
      <w:r>
        <w:t>Regeste</w:t>
      </w:r>
    </w:p>
    <w:p>
      <w:r>
        <w:t>Verfahrenshandlung der Bundesanwaltschaft (Art. 20 Abs. 1 lit. b i.V.m. Art. 393 Abs. 1 lit. a StPO).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Tagen verlangt, nachdem sie vom Entscheid über den Ausstand Kenntnis erhalten hat (Art. 60 Abs. 1 StPO);</w:t>
      </w:r>
    </w:p>
    <w:p>
      <w:r>
        <w:t>- der Gesetzgeber damit ein Verfahren vorgesehen hat, welches sich grund- sätzlich in zwei Teile (Entscheid über den Ausstand an sich sowie den Ent- scheid betreffend die allfällige Aufhebung und Wiederholung von Amtshand- lungen) gliedert (BGE 144 IV 90 E. 1.1.2 S. 94 f.);</w:t>
      </w:r>
    </w:p>
    <w:p>
      <w:r>
        <w:t>- es dem Gesuchsteller gemäss bundesgerichtlicher Rechtsprechung zwar of- fensteht in einer einzigen Eingabe sowohl den Ausstand als auch die Aufhe- bung und Wiederholung der umstrittenen Amtshandlungen zu verlangen (BGE 144 IV 90 E. 1.1.2 S. 95);</w:t>
      </w:r>
    </w:p>
    <w:p>
      <w:r>
        <w:t>- der Entscheid betreffend allfällige Aufhebung und Wiederholung von Amts- handlungen aufgrund des vorstehend Ausgeführten aber zwingend erst nach dem Entscheid über den Ausstand erfolgen kann;</w:t>
      </w:r>
    </w:p>
    <w:p>
      <w:r>
        <w:t>- die vom Beschwerdeführer angeführten Beschlüsse des Bundesstrafgerichts BB.2018.190 und BB.2018.197 vom 17. Juni 2019 grundsätzlich keine «au- tomatischen» Auswirkungen auf das Strafverfahren gegen den Beschwerde- führer entfalten;</w:t>
      </w:r>
    </w:p>
    <w:p>
      <w:r>
        <w:t>- der Entscheid im vorliegenden Ausstandsverfahren noch aussteht, weshalb sich ein Entscheid über den Antrag auf Aufhebung und Wiederholung von Amtshandlungen offensichtlich als verfrüht erweist;</w:t>
      </w:r>
    </w:p>
    <w:p>
      <w:r>
        <w:t>- kein Grund zur Sistierung des vorliegenden Beschwerdeverfahrens besteht, insbesondere da der angefochtene Entscheid das Gesuch um Aufhebung und Wiederholung von Amtshandlungen nicht inhaltlich beurteilt, sondern le- diglich als verfrüht bezeichnet;</w:t>
      </w:r>
    </w:p>
    <w:p>
      <w:r>
        <w:t>- 4 -</w:t>
      </w:r>
    </w:p>
    <w:p>
      <w:r>
        <w:t>- sich die vorliegende Beschwerde nach dem Gesagten als offensichtlich un- begründet erweist, weshalb sie ohne weiteren Schriftenwechsel abzuweisen ist (Art. 390 Abs. 2 StPO e contrario);</w:t>
      </w:r>
    </w:p>
    <w:p>
      <w:r>
        <w:t>- bei diesem Ausgang des Verfahrens die Gerichtskosten dem unterliegenden Beschwerdeführer aufzuerlegen sind (Art. 428 Abs. 1 StPO);</w:t>
      </w:r>
    </w:p>
    <w:p>
      <w:r>
        <w:t>- die Gerichtsgebühr vorliegend auf Fr. 1'000.– festzusetzen ist (Art. 73 StBOG i.V.m. Art. 5 und 8 Abs. 1 des Reglements des Bundesstrafgerichts vom 31. August 2010 über Kosten, Gebühren und Entschädigungen in Bun- 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