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 vom 11. September 2019</w:t>
      </w:r>
    </w:p>
    <w:p>
      <w:r>
        <w:t>Bundesstrafgericht, 2019-09-11, DE</w:t>
      </w:r>
    </w:p>
    <w:p>
      <w:r>
        <w:rPr>
          <w:b/>
        </w:rPr>
        <w:t xml:space="preserve">Quelle: </w:t>
      </w:r>
      <w:r>
        <w:t>https://mcp.opencaselaw.ch/entscheid/bstger_BB.2019.13</w:t>
      </w:r>
    </w:p>
    <w:p>
      <w:r>
        <w:t>FR: TPF BB.2019.13 du 11 septembre 2019</w:t>
      </w:r>
    </w:p>
    <w:p>
      <w:r>
        <w:t>IT: TPF BB.2019.13 del 11 settembre 2019</w:t>
      </w:r>
    </w:p>
    <w:p>
      <w:pPr>
        <w:pStyle w:val="Heading2"/>
      </w:pPr>
      <w:r>
        <w:t>Regeste</w:t>
      </w:r>
    </w:p>
    <w:p>
      <w:r>
        <w:t>Sistierung der Untersuchung (Art. 314 i.V.m. Art. 322 Abs. 2 StPO).</w:t>
      </w:r>
    </w:p>
    <w:p>
      <w:pPr>
        <w:pStyle w:val="Heading2"/>
      </w:pPr>
      <w:r>
        <w:t>Erwägungen</w:t>
      </w:r>
    </w:p>
    <w:p>
      <w:r>
        <w:rPr>
          <w:b/>
        </w:rPr>
        <w:t>E. 1.1</w:t>
      </w:r>
    </w:p>
    <w:p>
      <w:r>
        <w:t>Gegen eine Sistierungsverfügung der Bundesanwaltschaft ist die Be- schwerde nach den Vorschriften der Art. 393 ff. StPO an die Beschwerde- kammer des Bundesstrafgerichts zulässig (Art. 314 Abs. 5 StPO i.V.m. Art. 322 Abs. 2 StPO i.V.m. Art. 37 Abs. 1 StBOG).</w:t>
      </w:r>
    </w:p>
    <w:p>
      <w:r>
        <w:rPr>
          <w:b/>
        </w:rPr>
        <w:t>E. 1.2</w:t>
      </w:r>
    </w:p>
    <w:p>
      <w:r>
        <w:t>Zur Beschwerde legitimiert sind die Parteien, sofern sie ein rechtlich ge- schütztes Interesse an der Aufhebung oder Änderung des angefochtenen Entscheides haben, mithin durch die Sistierungsverfügung beschwert sind (Art. 314 Abs. 5 i.V.m. Art. 322 Abs. 2 und Art. 382 Abs. 1 StPO).</w:t>
      </w:r>
    </w:p>
    <w:p>
      <w:r>
        <w:rPr>
          <w:b/>
        </w:rPr>
        <w:t>E. 1.3</w:t>
      </w:r>
    </w:p>
    <w:p>
      <w:r>
        <w:t>Die Republik Türkei hat sich als Straf- und Zivilklägerin im Strafverfahren konstituiert. Sie ist als Geschädigte durch die Sistierungsverfügung be- schwert, weil grundsätzlich ein Anspruch darauf besteht, dass der Fall defi- nitiv erledigt wird, wenn dies möglich ist (LANDSHUT/BOSSHARD, in: Donatsch/ Hansjakob/Lieber [Hrsg.], Kommentar zur Schweizerischen Strafprozess- ordnung [StPO], 2. Aufl. 2014, Art. 314 StPO N. 23; vgl. DEMARMELS, Die Legitimation zur Beschwerde im kantonalen Strafverfahren [Art. 381 f. StPO], 2018, S. 134; vgl. auch – die beschuldigte Person betreffend – Be- schluss des Bundesstrafgerichts BB.2014.124 vom 6. Februar 2015 E. 1.3). Sie ist mithin zur Beschwerde legitimiert.</w:t>
      </w:r>
    </w:p>
    <w:p>
      <w:r>
        <w:t>- 5 -</w:t>
      </w:r>
    </w:p>
    <w:p>
      <w:r>
        <w:t>Die Beschwerde wurde zudem innert der Frist von zehn Tagen seit Zustel- lung der Sistierungsverfügung eingereicht (vgl. Art. 314 Abs. 5 i.V.m. Art. 322 Abs. 2 StPO), sodass auf die Beschwerde einzutreten ist.</w:t>
      </w:r>
    </w:p>
    <w:p>
      <w:r>
        <w:rPr>
          <w:b/>
        </w:rPr>
        <w:t>E. 2</w:t>
      </w:r>
    </w:p>
    <w:p>
      <w:r>
        <w:t>Die Beschwerde stellt gemäss Art. 393 Abs. 2 StPO ein ordentliches und vollkommenes Rechtsmittel dar. Mit ihr können alle Mängel des angefochte- nen Entscheides geltend gemacht werden. Die Beschwerdekammer verfügt demnach über volle Kognition (statt vieler: STEPHENSON/THIRIET, Basler Kommentar, 2. Aufl. 2014, Art. 393 StPO N. 15).</w:t>
      </w:r>
    </w:p>
    <w:p>
      <w:r>
        <w:rPr>
          <w:b/>
        </w:rPr>
        <w:t>E. 3.1</w:t>
      </w:r>
    </w:p>
    <w:p>
      <w:r>
        <w:t>Die Beschwerdegegnerin begründet die Sistierung des Verfahrens damit, dass umfassend Spuren gesichert und ausgewertet worden seien, wobei le- diglich eine DNA-Spur, welche einem Holzstab einer der abgefeuerten Ra- keten angehaftet habe, einer Person, nämlich B., habe zugeordnet werden können. Der Fundort der DNA reiche indes nicht aus, um gegen B. einen hinreichenden Tatverdacht zu begründen. Demzufolge sei sie als Auskunfts- person einvernommen worden, wobei sie von ihrem Aussageverweigerungs- recht Gebrauch gemacht habe. Es habe sich gezeigt, dass sie weder gewillt sei Aussagen zu machen noch Hinweise auf die mögliche Täterschaft zu liefern. Ferner seien keine weiteren Ermittlungsansätze zur Eruierung der Täterschaft ersichtlich und die Beweise, deren Verlust zu befürchten sei, seien erhoben worden. Das Verfahren sei im Ergebnis wegen unbekannter Täterschaft zu sistieren.</w:t>
      </w:r>
    </w:p>
    <w:p>
      <w:r>
        <w:rPr>
          <w:b/>
        </w:rPr>
        <w:t>E. 3.2</w:t>
      </w:r>
    </w:p>
    <w:p>
      <w:r>
        <w:t>Die Strafbehörden klären von Amtes wegen alle für die Beurteilung der Tat und der beschuldigten Person bedeutsamen Tatsachen ab (Art. 6 Abs. 1 StPO). Sie sind verpflichtet, im Rahmen ihrer Zuständigkeit ein Verfahren einzuleiten und durchzuführen, wenn ihnen Straftaten oder auf Straftaten hinweisende Verdachtsgründe bekannt werden (Art. 7 Abs. 1 StPO). Die Staatsanwaltschaft leitet das Vorverfahren, verfolgt Straftaten im Rahmen der Untersuchung, erhebt gegebenenfalls Anklage und vertritt die Anklage (Art. 16 Abs. 2 StPO). Sie kann eine Untersuchung sistieren, namentlich wenn die Täterschaft oder ihr Aufenthalt unbekannt ist oder andere vorüber- gehende Verfahrenshindernisse bestehen (Art. 314 Abs. 1 lit. a StPO). Vor der Sistierung erhebt die Staatsanwaltschaft die Beweise, deren Verlust zu befürchten ist. Ist die Täterschaft oder ihr Aufenthalt unbekannt, so leitet sie eine Fahndung ein (Art. 314 Abs. 3 StPO).</w:t>
      </w:r>
    </w:p>
    <w:p>
      <w:r>
        <w:t>- 6 -</w:t>
      </w:r>
    </w:p>
    <w:p>
      <w:r>
        <w:t>Bei der Beurteilung der Frage, ob eine Sistierung zu verfügen ist, kommt der Staatsanwaltschaft ein gewisser Ermessensspielraum zu. Das Beschleuni- gungsgebot (Art. 29 Abs. 1 BV; Art. 5 StPO) setzt der Sistierung des Straf- verfahrens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119 II 386 E. 1b; Urteile des Bundesgerichts 1B_406/2017 vom 23. Januar 2018 E. 2; 1B_329/2017 vom 11. September 2017 E. 3; 1B_21/2015 vom 1. Juli 2015 E. 2.3; 1B_421/2012 vom 19. Juni 2013 E. 2.3; 1B_67/2011 vom 13. April 2011 E. 4.2).</w:t>
      </w:r>
    </w:p>
    <w:p>
      <w:r>
        <w:rPr>
          <w:b/>
        </w:rPr>
        <w:t>E. 3.3.1</w:t>
      </w:r>
    </w:p>
    <w:p>
      <w:r>
        <w:t>Die Beschwerdegegnerin begründet die Sistierung damit, dass die Täter- schaft unbekannt sei. Diese Begründung ist aus folgenden Erwägungen nicht nachvollziehbar:</w:t>
      </w:r>
    </w:p>
    <w:p>
      <w:r>
        <w:rPr>
          <w:b/>
        </w:rPr>
        <w:t>E. 3.3.2</w:t>
      </w:r>
    </w:p>
    <w:p>
      <w:r>
        <w:t>Als Tatverdacht wird eine auf Beweisen oder Indizien beruhende Möglichkeit oder Wahrscheinlichkeit, dass jemand eine Straftat begangen hat, bezeich- net (OMLIN, Basler Kommentar, 2. Aufl. 2014, Art. 309 StPO N. 22). Der Ver- dacht muss objektiv begründbar sein und sich auf eine konkrete Straftat und eine konkrete Person richten, wobei die Person nicht namentlich bekannt sein muss (OMLIN, a.a.O., Art. 309 StPO N. 28). Vorliegend stellt sich die Frage, wie die bereits vorhandenen Beweise oder Indizien zu bewerten sind.</w:t>
      </w:r>
    </w:p>
    <w:p>
      <w:r>
        <w:rPr>
          <w:b/>
        </w:rPr>
        <w:t>E. 3.3.3</w:t>
      </w:r>
    </w:p>
    <w:p>
      <w:r>
        <w:t>Nach bisherigen Erkenntnissen wurde am Leitstab der abgefeuerten Rakete eine DNA-Spur sichergestellt, die B. zugeordnet wird. Dieser Umstand allein weist zunächst lediglich darauf hin, dass B. zu einem im Vorfeld der Tat lie- genden Zeitpunkt irgendwie in Kontakt mit der Rakete gekommen sein sollte. Relativ unwahrscheinlich, aber zumindest in Betracht zu ziehen, ist dabei auch die Möglichkeit eines sogenannten sekundären DNA-Transfers (vgl. IM- HASLY, in: Pellin [Hrsg.], Straftat, Schaulust, Spurensuche, 2011, S.113 f.).</w:t>
      </w:r>
    </w:p>
    <w:p>
      <w:r>
        <w:rPr>
          <w:b/>
        </w:rPr>
        <w:t>E. 3.3.4</w:t>
      </w:r>
    </w:p>
    <w:p>
      <w:r>
        <w:t>Weiter gilt es den Modus Operandi zu berücksichtigen. Dem Modus Ope- randi als erlerntes und wiederholtes Verhalten bei Straftaten kommt als An- knüpfungspunkt bei der Ermittlung eine erhebliche Bedeutung zu (vgl. zum Ganzen: DOUGLAS/DOUGLAS, Criminal Investigative Concepts in Crime Scene Analysis, in: Crime Classification Manual, 3. Aufl. 2013, S. 21 ff., 23 f.). Die case linkage (Verknüpfung verschiedener Taten) aufgrund eines identischen Modus Operandi ist ein anerkanntes Prinzip der Kriminalistik (vgl. etwa PICOZZI/ZAPPALÀ, FBI: le origini del profiling, in: Picozzi/Zappalà,</w:t>
      </w:r>
    </w:p>
    <w:p>
      <w:r>
        <w:t>- 7 -</w:t>
      </w:r>
    </w:p>
    <w:p>
      <w:r>
        <w:t>Criminal profiling, 2002, S. 103 ff, 112 f.; CARILLO, Tecnica dell’investigazi- one, 2014, S. 138 und 144) und ist u.a. bei der Recherche von ungelösten Fällen von Bedeutung (VINCIGUERRA/ROSSI, Principi di Criminologia, 3. Aufl. 2011, S. 153).</w:t>
      </w:r>
    </w:p>
    <w:p>
      <w:r>
        <w:t>Der Modus Operandi des Angriffs auf das türkische Generalkonsulat ist in- sofern mit der Vorgehensweise gegen das spanische Generalkonsulat im September 2002 vergleichbar, als frei verkäufliches Feuerwerk gegen das Gebäude eines Konsulats nicht bestimmungsgemäss eingesetzt wurde. Für den Angriff gegen das spanische Generalkonsulat im September 2002 wurde gerichtsnotorisch B. rechtskräftig verurteilt (vgl. Urteil des Bundesstrafge- richts SK.2011.1 vom 8. November 2011 E. 3.2 sowie etwa NZZ, Nr. 262 vom 9. November 2011, S. 17).</w:t>
      </w:r>
    </w:p>
    <w:p>
      <w:r>
        <w:rPr>
          <w:b/>
        </w:rPr>
        <w:t>E. 3.3.5</w:t>
      </w:r>
    </w:p>
    <w:p>
      <w:r>
        <w:t>Die Auswahl des türkischen Generalkonsulats als Ziel des Angriffs vom 18. Januar 2017 sowie das im Anschluss an das Ereignis auf einschlägigen Internetportalen veröffentlichte Bekennerschreiben (Verfahrensakten, pag. 05-00-0040) weist auf einen politischen Hintergrund der Tat hin. B. ist als Exponentin des Revolutionären Aufbaus Schweiz beziehungsweise Zü- richs bekannt (vgl. Urteil des Bundesstrafgerichts SK.2011.1 vom 8. Novem- ber 2011 E. 2.5.5). Dieser Umstand lässt Rückschlüsse auf ein mögliches Motiv von B. zu.</w:t>
      </w:r>
    </w:p>
    <w:p>
      <w:r>
        <w:rPr>
          <w:b/>
        </w:rPr>
        <w:t>E. 3.3.6</w:t>
      </w:r>
    </w:p>
    <w:p>
      <w:r>
        <w:t>Anlässlich ihrer Einvernahme als Auskunftsperson machte B. von ihrem Recht Gebrauch, zu schweigen. Die bestehenden Verdachtsmomente ge- gen B. konnten aber nicht ausgeräumt werden. Ebenso wenig konnte ein Alibi von B. für die fraglichen Zeiträume in Erfahrung gebracht werden.</w:t>
      </w:r>
    </w:p>
    <w:p>
      <w:r>
        <w:rPr>
          <w:b/>
        </w:rPr>
        <w:t>E. 3.3.7</w:t>
      </w:r>
    </w:p>
    <w:p>
      <w:r>
        <w:t>In der Summe vermögen die dargelegten Aspekte einen hinreichenden Tat- verdacht gegenüber B. zu begründen. Es bestehen erhebliche und konkrete Hinweise, dass B. im Zusammenhang mit dem Angriff gegen das türkische Generalkonsulat in der Nacht vom 17. auf den 18. Januar 2017 irgendwie involviert sein kann und sich damit strafbar gemacht haben könnte. Die Vo- raussetzungen für eine Sistierung aus dem Grund, dass die Täterschaft un- bekannt sei, sind daher nicht erfüllt.</w:t>
      </w:r>
    </w:p>
    <w:p>
      <w:r>
        <w:rPr>
          <w:b/>
        </w:rPr>
        <w:t>E. 3.4</w:t>
      </w:r>
    </w:p>
    <w:p>
      <w:r>
        <w:t>Im Übrigen ist auch nicht nachvollziehbar, wie sich die Beschwerdegegnerin das Vorliegen neuer Erkenntnisse zu einem späteren Zeitpunkt erhofft, ohne weitere Untersuchungshandlungen vorzunehmen. Besteht keine Aussicht, dass das Strafverfahren in absehbarer Zeit gefördert werden kann, so darf dieses nicht sistiert, sondern es muss zum Abschluss gebracht werden (HAU- SER/SCHWERI/HARTMANN, Schweizerisches Strafprozessrecht, 6. Aufl. 2005,</w:t>
      </w:r>
    </w:p>
    <w:p>
      <w:r>
        <w:t>- 8 -</w:t>
      </w:r>
    </w:p>
    <w:p>
      <w:r>
        <w:t>§ 78 N. 13; vgl. Urteil des Bundesgerichts 1P.623/2002 vom 6. März 2003 E. 2.3 = Pra 2003 Nr. 207; Beschluss des Kantonsgerichts Basel-Landschaft 470 11 11/ILM vom 26. April 2011 E. 2.2 f.). Ein Untätigbleiben widerspricht dem in Art. 5 StPO ausdrücklich statuierten Beschleunigungsgebot. Im vor- liegenden Verfahren ist von der Beschwerdegegnerin zu erwarten, dass sie das Verfahren entweder weiterführt und dabei weitere Beweise erhebt oder aber das Verfahren abschliesst, sei es durch Einstellung, Anklage oder Straf- befehl.</w:t>
      </w:r>
    </w:p>
    <w:p>
      <w:r>
        <w:t>Hierzu ist anzumerken, dass sich der Entscheid über die Einstellung eines Verfahrens nach dem Grundsatz «in dubio pro duriore» zu richten hat. Da- nach darf eine Einstellung durch die Staatsanwaltschaft grundsätzlich nur bei klarer Straflosigkeit oder offensichtlich fehlenden Prozessvoraussetzun- gen angeordnet werden. Hingegen ist, sofern die Erledigung mit einem Straf- 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(BGE 143 IV 241 E. 2.2.1 m.w.H.; vgl. dazu auch OPPLIGER/BOUVARD, In dubio pro duriore – Anklage à contrecœur, forumpo- enale 2019, S. 40 ff.).</w:t>
      </w:r>
    </w:p>
    <w:p>
      <w:r>
        <w:rPr>
          <w:b/>
        </w:rPr>
        <w:t>E. 3.5</w:t>
      </w:r>
    </w:p>
    <w:p>
      <w:r>
        <w:t>Nach dem Gesagten liegt kein Fall von Art. 314 Abs. 1 lit. a StPO vor, wes- halb sich die Beschwerde als begründet erweist und gutzuheissen ist. Die angefochtene Verfügung ist aufzuheben.</w:t>
      </w:r>
    </w:p>
    <w:p>
      <w:r>
        <w:rPr>
          <w:b/>
        </w:rPr>
        <w:t>E. 4</w:t>
      </w:r>
    </w:p>
    <w:p>
      <w:r>
        <w:t>Bei diesem Ausgang des Verfahrens ist keine Gerichtsgebühr zu erheben (vgl. Art. 428 Abs. 4 StPO). Die Bundesstrafgerichtskasse ist anzuweisen, der Beschwerdeführerin den geleisteten Kostenvorschuss von Fr. 2‘000.–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