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BB.2019.128 vom 10. Dezember 2019</w:t>
      </w:r>
    </w:p>
    <w:p>
      <w:r>
        <w:t>Bundesstrafgericht, 2019-12-10, DE</w:t>
      </w:r>
    </w:p>
    <w:p>
      <w:r>
        <w:rPr>
          <w:b/>
        </w:rPr>
        <w:t xml:space="preserve">Quelle: </w:t>
      </w:r>
      <w:r>
        <w:t>https://mcp.opencaselaw.ch/entscheid/bstger_BB.2019.128</w:t>
      </w:r>
    </w:p>
    <w:p>
      <w:r>
        <w:t>FR: TPF BB.2019.128 du 10 décembre 2019</w:t>
      </w:r>
    </w:p>
    <w:p>
      <w:r>
        <w:t>IT: TPF BB.2019.128 del 10 dicembre 2019</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2.1</w:t>
      </w:r>
    </w:p>
    <w:p>
      <w:r>
        <w:t>Die Honorarnote von Rechtsanwalt A. vom 11. Januar 2019 schlüsselt sei- nen Aufwand von Fr. 19'239.65 (inkl. MwSt.) auf. Er legt seinen zeitlichen Aufwand pro Tag dar und gibt dazu jeweils einige und zum Teil zahlreiche Stichworte. Er verrechnet insgesamt 86.30 Stunden. Darin enthalten sind Auslagen von Fr. 515.60 (zuzüglich MwSt.), wiederum nach Tagen aufge- schlüsselt. Das Leistungsjournal umfasst drei Seiten. Rechtsanwalt A. reichte der Beschwerdekammer vier Exemplare seiner Honorarnote ein (act. 1.19–1.22). In jedem Exemplar sind je die Bemühungen seiner Tätigkeit markiert und je auf der ersten Seite zu einem Zeittotal addiert: Berufungs- antwort 16.9 Stunden, Plädoyernotizen 41 ½ Stunden; Besprechungen 4.2 Stunden; Durchsicht und Studium Eingaben 2.1 Stunden; "Hauptver- handlung etc." 11 ½ Stunden.</w:t>
      </w:r>
    </w:p>
    <w:p>
      <w:r>
        <w:t>- 4 -</w:t>
      </w:r>
    </w:p>
    <w:p>
      <w:r>
        <w:t>Die Strafkammer begründet die Entschädigung des Verteidigers mit Fr. 5'000.-- (statt Fr. 19'239.65) im Urteil vom 21. Januar 2019 wie folgt: Der amtliche Verteidiger sei aus dem erstinstanzlichen Verfahren mit den tat- sächlichen und rechtlichen Fragen wohlvertraut. Er sei für dieses denn auch mit Fr. 14'048.50 entschädigt worden. Das Bezirksgericht habe den Beschul- digten freigesprochen. Angesichts dessen sei die Kostennote des Verteidi- gers vom 11. Januar 2019 klar überhöht. Angemessen sei vielmehr ein Auf- wand von insgesamt gut 20 Stunden (statt 86.30h): 5 Stunden für schriftliche Berufungsantwort und Plädoyer; 1 Stunde für Kontakte mit dem Beschuldig- ten (soweit er nicht bereits erstinstanzlich abgegolten sei); 2 Stunden für Durchsicht und Studium von Unterlagen etc.; 12 Stunden für die Berufungs- verhandlung etc. Die Strafkammer entschädigte die geltend gemachten Aus- lagen. Das Urteil merkt an, dass eine Minderheit der Strafkammer angesichts der Komplexität der Beweislage den notwendigen Aufwand als klar grösser einschätze und eine deutlich höhere Entschädigung zugesprochen hätte (act. 3.1 Ziff. 17.1.1. S. 104 f.).</w:t>
      </w:r>
    </w:p>
    <w:p>
      <w:r>
        <w:rPr>
          <w:b/>
        </w:rPr>
        <w:t>E. 2.2</w:t>
      </w:r>
    </w:p>
    <w:p>
      <w:r>
        <w:t>Rechtsanwalt A. legt in seiner Honorarbeschwerde dar, er habe gegen den Vorwurf eines Kapitalverbrechens verteidigt. Die Strafkammer habe explizit aufgrund der Komplexität des Falles vor der Hauptverhandlung einen Schrif- tenwechsel durchgeführt (vgl. act. 1.8 S. 2). Die Komplexität zeige schon die blosse Quantität der Eingaben auf. Die "produktiven Gegenseiten" hätten ohne Beilagen 84 Seiten eingereicht, er demgegenüber konzise 23. Neben der Hauptverhandlung habe die Strafkammer nur 8 Stunden entschädigt. Die Ausarbeitung der Berufungsantwort sowie der Plädoyernotizen habe sie um 53.4 Stunden gekürzt. Er habe seine Schriftsätze eingereicht, welche beleg- ten, dass er sich aufs Notwendigste beschränkt habe. Rechtsanwalt A. äus- sert sich sodann zu den einzelnen Positionen. Es liege kein offensichtliches Missverhältnis vor zwischen dem geltend gemachten und angebrachten Zeit- aufwand. Die Kürzungen seien ungerechtfertigt und deren Begründung ver- letze das rechtliche Gehör (act. 1).</w:t>
      </w:r>
    </w:p>
    <w:p>
      <w:r>
        <w:rPr>
          <w:b/>
        </w:rPr>
        <w:t>E. 2.3</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Entschädi- gung der Anwälte (Anwaltstarif) vom 10. November 1987 (AnwT/AG; SAR 291.150). Gemäss § 9 Abs. 1 AnwT/AG bemisst sich die Entschädi- gung nach dem angemessenen Zeitaufwand des Anwaltes. Bei der amtli- chen Verteidigung beträgt der Stundenansatz in der Regel Fr. 200.– und kann in einfachen Fällen bis auf Fr. 180.– reduziert werden (§ 9 Abs. 3bis</w:t>
      </w:r>
    </w:p>
    <w:p>
      <w:r>
        <w:t>- 5 -</w:t>
      </w:r>
    </w:p>
    <w:p>
      <w:r>
        <w:t>AnwT/AG). Neben der Entschädigung sind dem Anwalt sämtliche notwendi- gen Auslagen (Gerichts- und Betreibungskosten, Vorschüsse, Reisespesen, Porti, Telefon-, Telex- und Telefaxgebühren, Kopien usw.) zu ersetzen. Die Entscheidbehörde kann für den Auslagenersatz eine Pauschale festsetzen (§ 13 Abs. 1 AnwT/AG).</w:t>
      </w:r>
    </w:p>
    <w:p>
      <w:r>
        <w:rPr>
          <w:b/>
        </w:rPr>
        <w:t>E. 2.4</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BGE 138 I 232 E. 5.1 S. 237). Gegentei- liges, das heisst ein Rechtsmittelverfahren ohne Kenntnis der Entscheid- gründe, ist den Parteien und der Rechtsmittelinstanz grundsätzlich nicht zu- zumuten (vgl. zur Berufung im Zivilprozess REETZ/THEILER, in: Kommentar zur Schweizerischen Zivilprozessordnung [ZPO], Sutter-Somm und andere [Hrsg.], 3. Aufl. 2016, N. 16 zu Art. 311 ZPO; zum Ganzen BGE 143 IV 40 E. 3.4.3). Hat die Verteidigung ihren Aufwand in allen Einzelheiten ausgewiesen, ist das Gericht unter dem Gesichtspunkt von Art. 29 Abs. 2 BV verpflichtet, sich damit auseinanderzusetzen und in Bezug auf die konkreten, geltend ge- machten Aufwendungen nachvollziehbar darzulegen, aus welchem Grund es diese als sachfremden oder übertriebenen Aufwand nicht entschädigt (vgl. Urteil des Bundesgerichts 6B_121/2010 vom 22. Februar 2011 E. 3.1.4). Akzeptiert das Gericht einzelne Posten aus der Kostennote, setzt es aber andere herab, hat es zu jeder Reduktion zumindest kurz auszufüh- ren, aus welchem konkreten Grund die Aufwendungen oder Auslagen als unnötig betrachtet werden (Urteil des Bundesgerichts 8C_54/2013 vom 8. Mai 2013 E. 4.1; zum Ganzen BGE 141 I 70 E. 5.2).</w:t>
      </w:r>
    </w:p>
    <w:p>
      <w:r>
        <w:rPr>
          <w:b/>
        </w:rPr>
        <w:t>E. 2.5</w:t>
      </w:r>
    </w:p>
    <w:p>
      <w:r>
        <w:t>Die Strafkammer geht gestützt auf die folgenden Elemente von einer über- höhten Honorarnote des amtlichen Verteidigers aus:</w:t>
      </w:r>
    </w:p>
    <w:p>
      <w:r>
        <w:t>• Vertrautheit des Verteidigers mit den tatsächlichen und rechtlichen Fragen aus dem erstinstanzlichen Verfahren; • Verweis auf die Entschädigung im erstinstanzlichen Verfahren; • Das Bezirksgericht habe den Beschuldigten freigesprochen.</w:t>
      </w:r>
    </w:p>
    <w:p>
      <w:r>
        <w:t>Gemäss Urteil vom 21. Januar 2019 sei demgegenüber ein Aufwand von insgesamt gut 20 Stunden angemessen (statt 86.30h): 5 Stunden für schrift- liche Berufungsantwort und Plädoyer; 1 Stunde Kontakt mit Beschuldigtem (soweit nicht bereits erstinstanzlich abgegolten); 2 Stunden für Durchsicht und Studium der Unterlagen etc.; 12 Stunden Berufungsverhandlung etc.</w:t>
      </w:r>
    </w:p>
    <w:p>
      <w:r>
        <w:t>- 6 -</w:t>
      </w:r>
    </w:p>
    <w:p>
      <w:r>
        <w:t>Die Verteidigung vor der Vorinstanz erspart zwar eine Einarbeitung in die tatsächlichen und rechtlichen Fragen der Strafsache. Die Entschädigung im Verfahren vor Bezirksgericht entschädigt aber nicht auch den Aufwand des Verteidigers im Verfahren vor der Strafkammer. Inwiefern der Freispruch vor Bezirksgericht den Aufwand reduziert, wenn die Staatsanwaltschaft ihn an- ficht, wird aus dieser Begründung nicht klar. Die Kenntnis des Falles erspart nicht die Redaktion der Berufungserklärung oder die Vorbereitung des Plä- doyers. Sie schreibt auch noch nicht die von der Strafkammer gewünschte Berufungsbegründung. Der Verteidiger muss sich vielmehr mit der Begrün- dung der unteren Instanz, vor allem aber mit der Berufung und den Begrün- dungen der (hier beiden) Gegenparteien, auseinandersetzen. Dem Rechts- mittelsystem der "double instance" ist zudem inhärent, dass vor der oberen Instanz auch gleiche Rechtsfragen nochmals aufgeworfen werden dürfen (resp. für einen Weiterzug ans Bundesgericht, müssen). Massgeblich für die Entschädigung des amtlichen Verteidigers durch die Strafkammer ist, ob die konkreten Rechts- und Tatfragen den Aufwand im Berufungsverfahren selbst rechtfertigen. Der Beschwerdeführer hat seinen Aufwand für die Mandatsführung in allen Einzelheiten ausgewiesen, weshalb die Vorinstanz unter dem Gesichtspunkt von Art. 29 Abs. 2 BV verpflichtet gewesen wäre, sich damit auseinanderzu- setzen und in Bezug auf die konkreten, geltend gemachten Aufwendungen des Beschwerdeführers nachvollziehbar darzulegen, aus welchem Grund es diese als sachfremden oder übertriebenen Aufwand nicht entschädigt. Die vorinstanzliche Begründung erweist sich damit als unzureichend.</w:t>
      </w:r>
    </w:p>
    <w:p>
      <w:r>
        <w:rPr>
          <w:b/>
        </w:rPr>
        <w:t>E. 3.1</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w:t>
      </w:r>
    </w:p>
    <w:p>
      <w:r>
        <w:t>- 7 -</w:t>
      </w:r>
    </w:p>
    <w:p>
      <w:r>
        <w:t>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3.2</w:t>
      </w:r>
    </w:p>
    <w:p>
      <w:r>
        <w:t>Die Gehörsverletzung kann vorliegend von der Beschwerdekammer nicht geheilt werden. Die strukturell fehlende Begründung erlaubt nicht, ein Hono- rar selbst festsetzen. Es ist auch nicht Sache der Beschwerdeinstanz, an- stelle des dazu berufenen kantonalen Gerichts diese Einzelabwägung vor- zunehmen, ist doch die Vorinstanz näher an den Besonderheiten des Straf- falls – welche ja für den berechtigten Verteidigeraufwand massgeblich sind – als die Beschwerdekammer. Die Verletzung des rechtlichen Gehörs kann daher nicht im Beschwerdeverfahren geheilt werden. Erlaubt der angefoch- tene Beschluss keinen reformatorischen Entscheid und ist eine Kassation angezeigt, so obsiegt der amtliche Verteidiger vollumfänglich (vgl. nur BGE 137 V 210 E. 7.1). Die Beschwerde ist dementsprechend gutzuheissen und Dispositiv Ziffer 4 (1. Absatz) des angefochtenen Urteils ist antragsge- mäss aufzuheben. Das Verfahren ist an das Obergericht des Kantons Aar- gau, Strafkammer, zu neuem, substanzierten Entscheid über die Entschädi- gung des amtlichen Verteidigers zurückzuweisen.</w:t>
      </w:r>
    </w:p>
    <w:p>
      <w:r>
        <w:rPr>
          <w:b/>
        </w:rPr>
        <w:t>E. 4.1</w:t>
      </w:r>
    </w:p>
    <w:p>
      <w:r>
        <w:t>Bei diesem Ausgang des Verfahrens sind keine Gerichtskosten zu erheben.</w:t>
      </w:r>
    </w:p>
    <w:p>
      <w:r>
        <w:rPr>
          <w:b/>
        </w:rPr>
        <w:t>E. 4.2</w:t>
      </w:r>
    </w:p>
    <w:p>
      <w:r>
        <w:t>Der obsiegende amtliche Verteidiger hat Anspruch auf eine Prozessentschä- digung (vgl. Art. 436 Abs. 1 i.V.m. Art. 429 Abs. 1 lit. a StPO). Diese ist auf pauschal Fr. 2'500.-- (inkl. MwSt.) festzusetzen (vgl. Art. 10 und 12 Abs. 2 des Reglements des Bundesstrafgerichts vom 31. August 2010 über die Kosten, Gebühren und Entschädigungen in Bundesstrafverfahren; BStKR, SR 173.713.162). Das Obergericht des Kantons Aargau ist zu verpflichten, Rechtsanwalt A. eine Prozessentschädigung von Fr. 2'500.-- zu bezahlen.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