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BB.2019.119 vom 12. Juni 2019</w:t>
      </w:r>
    </w:p>
    <w:p>
      <w:r>
        <w:t>Bundesstrafgericht, 2019-06-12, DE</w:t>
      </w:r>
    </w:p>
    <w:p>
      <w:r>
        <w:rPr>
          <w:b/>
        </w:rPr>
        <w:t xml:space="preserve">Quelle: </w:t>
      </w:r>
      <w:r>
        <w:t>https://mcp.opencaselaw.ch/entscheid/bstger_BB.2019.119</w:t>
      </w:r>
    </w:p>
    <w:p>
      <w:r>
        <w:t>FR: TPF BB.2019.119 du 12 juin 2019</w:t>
      </w:r>
    </w:p>
    <w:p>
      <w:r>
        <w:t>IT: TPF BB.2019.119 del 12 giugno 2019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12. Juni 2019 Beschwerdekammer Besetzung</w:t>
      </w:r>
    </w:p>
    <w:p>
      <w:r>
        <w:t>Bundesstrafrichter Roy Garré, Vorsitz, Andreas J. Keller und Patrick Robert-Nicoud, Gerichtsschreiber Stephan Ebneter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1. BUNDESANWALTSCHAFT,</w:t>
      </w:r>
    </w:p>
    <w:p>
      <w:r>
        <w:t>2. B.,</w:t>
      </w:r>
    </w:p>
    <w:p>
      <w:r>
        <w:t>Beschwerdegegner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BB.2019.119</w:t>
      </w:r>
    </w:p>
    <w:p>
      <w:r>
        <w:t>- 2 -</w:t>
      </w:r>
    </w:p>
    <w:p>
      <w:r>
        <w:t>Die Beschwerdekammer hält fest, dass:</w:t>
      </w:r>
    </w:p>
    <w:p>
      <w:r>
        <w:t>- dass A. bei der Bundesanwaltschaft (nachfolgend «BA») mit Datum vom 20. Dezember 2018 (Datierung; Poststempel: 28. Dezember 2018; Ein- gangsstempel: 31. Dezember 2018) Strafanzeige erstattete gegen B. wegen Bilanzfälschung, ungerechtfertigter Bereicherung, Verleumdung, Rufschädi- gung und «Unterlassung Finderlohnzahlung» (Verfahrensakten, Reiter 1);</w:t>
      </w:r>
    </w:p>
    <w:p>
      <w:r>
        <w:t>- die BA am 17. Mai 2019 verfügte, die Strafanzeige werde nicht anhand ge- nommen (act. 1.1);</w:t>
      </w:r>
    </w:p>
    <w:p>
      <w:r>
        <w:t>- hiergegen A. mit Beschwerde vom 3. Juni 2019 an die Beschwerdekammer des Bundesstrafgerichts gelangt und sinngemäss beantragt, die BA sei zu verpflichten, sich der Strafanzeige anzunehmen (act. 1);</w:t>
      </w:r>
    </w:p>
    <w:p>
      <w:r>
        <w:t>- die BA der Beschwerdekammer auf entsprechende Aufforderung hin die Ver- 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Beschluss des Bundesstrafge- richts BB.2016.24 vom 7. Juni 2016 E. 1.2 m.w.H.);</w:t>
      </w:r>
    </w:p>
    <w:p>
      <w:r>
        <w:t>- die BA mit Nichtanhandnahmeverfügung vom 17. Mai 2019 die Strafanzeige des Beschwerdeführers mangels genügender Substantiierung nicht anhand nahm;</w:t>
      </w:r>
    </w:p>
    <w:p>
      <w:r>
        <w:t>- 3 -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der Strafanzeige des Beschwerdeführers kein konkreter Sachverhalt ent- nommen werden kann, der einen hinreichenden Tatverdacht begründen könnte; sich auch aus der Beschwerde diesbezüglich nichts ergibt;</w:t>
      </w:r>
    </w:p>
    <w:p>
      <w:r>
        <w:t>- die BA demnach berechtigt war, eine Nichtanhandnahmeverfügung zu erlas- sen;</w:t>
      </w:r>
    </w:p>
    <w:p>
      <w:r>
        <w:t>- sich die Beschwerde als offensichtlich unbegründet erweist, weshalb sie ohne Schriftenwechsel abzuweisen ist (vgl. Art. 390 Abs. 2 StPO e contra- rio);</w:t>
      </w:r>
    </w:p>
    <w:p>
      <w:r>
        <w:t>- bei diesem Ausgang des Verfahrens die Gerichtskosten dem Beschwerde- führer aufzuerlegen sind (vgl. Art. 428 Abs. 1 StPO);</w:t>
      </w:r>
    </w:p>
    <w:p>
      <w:r>
        <w:t>- die Gerichtgebühr auf das gesetzliche und reglementarische Minimum von Fr. 200.– festzusetzen ist (vgl. Art. 73 StBOG sowie Art. 5 und Art.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abgewiesen.</w:t>
      </w:r>
    </w:p>
    <w:p>
      <w:r>
        <w:t>2. Die Gerichtsgebühr von Fr. 200.– wird dem Beschwerdeführer auferlegt.</w:t>
      </w:r>
    </w:p>
    <w:p>
      <w:r>
        <w:t>Bellinzona, 12. Juni 2019</w:t>
      </w:r>
    </w:p>
    <w:p>
      <w:r>
        <w:t>Im Namen der Beschwerdekammer des Bundesstrafgerichts</w:t>
      </w:r>
    </w:p>
    <w:p>
      <w:r>
        <w:t>Der Vizepräsident: Der Gerichtsschreiber:</w:t>
      </w:r>
    </w:p>
    <w:p>
      <w:r>
        <w:t>Zustellung an</w:t>
      </w:r>
    </w:p>
    <w:p>
      <w:r>
        <w:t>- A. - Bundesanwaltschaft -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