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BB.2019.101 vom 22. Oktober 2019</w:t>
      </w:r>
    </w:p>
    <w:p>
      <w:r>
        <w:t>Bundesstrafgericht, 2019-10-22, FR</w:t>
      </w:r>
    </w:p>
    <w:p>
      <w:r>
        <w:rPr>
          <w:b/>
        </w:rPr>
        <w:t xml:space="preserve">Quelle: </w:t>
      </w:r>
      <w:r>
        <w:t>https://mcp.opencaselaw.ch/entscheid/bstger_BB.2019.101</w:t>
      </w:r>
    </w:p>
    <w:p>
      <w:r>
        <w:t>FR: TPF BB.2019.101 du 22 octobre 2019</w:t>
      </w:r>
    </w:p>
    <w:p>
      <w:r>
        <w:t>IT: TPF BB.2019.101 del 22 ottobre 2019</w:t>
      </w:r>
    </w:p>
    <w:p>
      <w:pPr>
        <w:pStyle w:val="Heading2"/>
      </w:pPr>
      <w:r>
        <w:t>Regeste</w:t>
      </w:r>
    </w:p>
    <w:p>
      <w:r>
        <w:t>Récusation du Ministère public de la Confédération (art. 59 al. 1 let. b en lien avec l'art. 56 CPP). Actes de procédure du Ministère public de la Confédération (art. 20 al. 1 let. b en lien avec l'art. 393 al. 1 let. a CPP).</w:t>
      </w:r>
    </w:p>
    <w:p>
      <w:pPr>
        <w:pStyle w:val="Heading2"/>
      </w:pPr>
      <w:r>
        <w:t>Erwägungen</w:t>
      </w:r>
    </w:p>
    <w:p>
      <w:r>
        <w:rPr>
          <w:b/>
        </w:rPr>
        <w:t>E. 1.1</w:t>
      </w:r>
    </w:p>
    <w:p>
      <w:r>
        <w:t>Aux termes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 Cour de céans en procédure pénale fédérale (art. 37 al. 1 de la loi fédérale du 19 mars 2010 sur l'organisation des autorités pénales de la Confédération [LOAP; RS 173.71]) – lorsque le ministère public est concerné.</w:t>
      </w:r>
    </w:p>
    <w:p>
      <w:r>
        <w:rPr>
          <w:b/>
        </w:rPr>
        <w:t>E. 1.2</w:t>
      </w:r>
    </w:p>
    <w:p>
      <w:r>
        <w:t>Les décisions du MPC peuvent faire l'objet d'un recours devant la Cour de céans (art. 393 al. 1 let. a CPP et 37 al. 1 de la loi fédérale du 19 mars 2010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Si des raisons objectives le justifient, le ministère public et les tribunaux peuvent ordonner la jonction ou la disjonction de procédures pénales (art. 30 CPP). En l'occurrence, il appert que la demande de récusation contre C. (BB.2019.114-115), le recours contre la missive par laquelle C. a informé les</w:t>
      </w:r>
    </w:p>
    <w:p>
      <w:r>
        <w:t>- 4 -</w:t>
      </w:r>
    </w:p>
    <w:p>
      <w:r>
        <w:t>parties de sa nomination (BB.2019.101-102) et le recours contre la décision du Procureur général de la Confédération qui nommait C. (BB.2019.114- 115) sont formés par les mêmes parties représentées par les mêmes avocats dans la même procédure et ont un contenu identique en substance. Les recours – dont les recourants ont demandé la jonction (BB.2019.114- 115, act. 1, conclusion 2) – concluent non seulement à l’annulation de la missive et de la décision du Procureur général de la Confédération susdites mais également à la récusation du procureur fédéral extraordinaire (BB.2019.114-115, act. 1, conclusion 6). Il en découle que l’objet principal des démarches procédurales des recourants est identique et tend à obtenir la récusation du procureur général extraordinaire. Par conséquent, les procédures BB.2019.104-105, BB.2019.101-102 et BB.2019.114-115 sont jointes.</w:t>
      </w:r>
    </w:p>
    <w:p>
      <w:r>
        <w:rPr>
          <w:b/>
        </w:rPr>
        <w:t>E. 1.4</w:t>
      </w:r>
    </w:p>
    <w:p>
      <w:r>
        <w:t>Vu l’issue de la procédure, la question de la recevabilité des recours BB.2019.114-115 (formé contre la décision de nomination de C. par le Procureur général de la Confédération) et BB.2019.101-102 (formé contre la missive de C. annonçant sa nomination) peut demeurer ouverte, étant entendu qu’il n’apparaît pas, en ce qui concerne la décision du Procureur général de la Confédération, que la Cour de céans soit compétente pour traiter de recours contre des actes internes au MPC (art. 20 al. 2 de la loi fédérale sur l'organisation des autorités pénales de la Confédération [LOAP; RS 173.71]; décisions du Tribunal pénal fédéral BB.2018.190 et BB.2018.198 du 17 juin 2019, consid. 4.2).</w:t>
      </w:r>
    </w:p>
    <w:p>
      <w:r>
        <w:rPr>
          <w:b/>
        </w:rPr>
        <w:t>E. 1.5</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(arrêt du Tribunal fédéral 1B_48/2011 du 11 novembre 2011 consid. 3.1; ATF 134 I 20 consid. 4.3.1; 132 II 485 consid. 4.3; 130 III 66 consid. 4.3 et les arrêts cités).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 La missive par laquelle C. informait les parties de sa nomination en qualité de procureur fédéral extraordinaire et de codirecteur de la procédure est datée du 24 avril 2019. La demande de récusation est datée du 1er mai 2019, soit une semaine plus tard. Il y a lieu d’admettre</w:t>
      </w:r>
    </w:p>
    <w:p>
      <w:r>
        <w:t>- 5 -</w:t>
      </w:r>
    </w:p>
    <w:p>
      <w:r>
        <w:t>qu’elle a été transmise sans délai, de sorte qu’il convient d’entrer en matière.</w:t>
      </w:r>
    </w:p>
    <w:p>
      <w:r>
        <w:rPr>
          <w:b/>
        </w:rPr>
        <w:t>E. 2.1</w:t>
      </w:r>
    </w:p>
    <w:p>
      <w:r>
        <w:t>Un magistrat est récusable pour l'un des motifs prévus aux art. 56 let. a à e CPP. Il l'est également,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3.2.1; ATF 138 IV 142 consid. 2.1). Selon la jurisprudence, un rapport de dépendance ou des liens particuliers entre un juge et une partie au procès, au sens de l'art. 56 let. f CPP, ne sauraient entraîner une récusation que s'il est objectivement à craindre que le magistrat ne perde ainsi sa liberté de jugement. De simples rapports professionnels ou collégiaux sont à cet égard insuffisants, en l'absence d'autres indices de partialité (arrêt du Tribunal fédéral 6B_851/2018 du</w:t>
      </w:r>
    </w:p>
    <w:p>
      <w:r>
        <w:rPr>
          <w:b/>
        </w:rPr>
        <w:t>E. 2.2</w:t>
      </w:r>
    </w:p>
    <w:p>
      <w:r>
        <w:t>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w:t>
      </w:r>
    </w:p>
    <w:p>
      <w:r>
        <w:t>- 6 -</w:t>
      </w:r>
    </w:p>
    <w:p>
      <w:r>
        <w:t>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arrêts cités).</w:t>
      </w:r>
    </w:p>
    <w:p>
      <w:r>
        <w:rPr>
          <w:b/>
        </w:rPr>
        <w:t>E. 2.3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ATF 138 IV 142 consid. 2.3, ATF 116 Ia 14 consid. 5a p. 19, ATF 116 Ia 135 consid. 3a p. 138; ATF 114 Ia 153 consid. 3b/bb p. 158; ATF 113 Ia 407 consid. 2b p. 409/410; ATF 111 Ia 259 consid. 3b/aa in fine p. 264).</w:t>
      </w:r>
    </w:p>
    <w:p>
      <w:r>
        <w:rPr>
          <w:b/>
        </w:rPr>
        <w:t>E. 2.4</w:t>
      </w:r>
    </w:p>
    <w:p>
      <w:r>
        <w:t>Une suspicion de partialité peut, dans certains cas, se fonder sur des caractéristiques de nature fonctionnelle et organisationnelle (arrêt du Tribunal fédéral 1B_457/2018 du 28 décembre 2018 consid. 2).</w:t>
      </w:r>
    </w:p>
    <w:p>
      <w:r>
        <w:rPr>
          <w:b/>
        </w:rPr>
        <w:t>E. 2.5</w:t>
      </w:r>
    </w:p>
    <w:p>
      <w:r>
        <w:t>Les requérants fondent leur demande de récusation sur l’allégué que C., procureur fédéral assistant dans la procédure SV.12. 0530-BON, aurait ouvert fin avril 2019 son étude d’avocat à Fribourg; sa nomination comme procureur fédéral extraordinaire à compter de cette période « répondrait à des motifs de pure commodité incompatibles avec la nature spécifique de la mission d’un procureur extraordinaire telle que prévue par la loi, puisqu’elle ne reposerait que sur la nécessité d’éviter de devoir nommer un autre Procureur fédéral assistant qui devrait commencer par assimiler le dossier contrairement à C., qui fut procureur fédéral assistant dans cette procédure jusqu’ici et depuis en tout cas juillet 2014 » (BB.2019.104-105, act. 1, p. 3). Les requérants poursuivent par la critique de la décision de nomination de C. par le Procureur général de la Confédération; dans leur recours formé contre ladite décision (BB.2019.114-115, act. 1, p. 9-10), ils allèguent, de manière générale, que l’activité d’avocat est incompatible avec la fonction de procureur fédéral extraordinaire, grief qui figure également dans le recours formé contre la missive susdite par laquelle C. annonçait sa nomination aux parties (BB.2019.101-102, act. 1).</w:t>
      </w:r>
    </w:p>
    <w:p>
      <w:r>
        <w:rPr>
          <w:b/>
        </w:rPr>
        <w:t>E. 2.6</w:t>
      </w:r>
    </w:p>
    <w:p>
      <w:r>
        <w:t>En revanche, les requérants ne formulent aucun grief concret à l’encontre de C., qui pourrait être interprété à la lueur des dispositions légales, de la</w:t>
      </w:r>
    </w:p>
    <w:p>
      <w:r>
        <w:t>- 7 -</w:t>
      </w:r>
    </w:p>
    <w:p>
      <w:r>
        <w:t>doctrine et de la jurisprudence susdites – auxquelles les requérants ne se réfèrent d’ailleurs pas. La seule source de leur grief semble résider dans les articles 5.2 et 5.4 du Code de conduite du MPC (précisément: Code de conduite pour le Ministère public de la Confédération, Directive du 1er juillet 2017 émise par le Procureur général en application des art. 9, 13 al. 1 let. a et 22 al. 2 LOAP et 94d OPers), qui règlent les activités accessoires des procureurs et des collaborateurs du MPC. Si tant est que cette directive s’applique sans distinction aux procureurs et collaborateurs employés à titre principal par le MPC qui entendent exercer une activité accessoire, et aux individus nommés procureurs extraordinaires ad hoc, dont l’activité pour le MPC est accessoire et dont l’activité principale est connue de l’autorité de nomination, il demeure que les requérants ne développent en aucune façon en quoi C. aurait fait preuve de partialité dans l’affaire dont il est chargé ou en aurait donné objectivement l’apparence de par sa seule activité principale d’avocat. Les requérants ne développent pas non plus en quoi les activités principale et secondaire de C. pourraient réaliser les conditions de l’apparence de prévention fondée sur des caractéristiques de nature fonctionnelle et structurelle (supra consid. 2.4).</w:t>
      </w:r>
    </w:p>
    <w:p>
      <w:r>
        <w:rPr>
          <w:b/>
        </w:rPr>
        <w:t>E. 2.7</w:t>
      </w:r>
    </w:p>
    <w:p>
      <w:r>
        <w:t>Par conséquent, la demande de récusation est rejetée.</w:t>
      </w:r>
    </w:p>
    <w:p>
      <w:r>
        <w:rPr>
          <w:b/>
        </w:rPr>
        <w:t>E. 2.8</w:t>
      </w:r>
    </w:p>
    <w:p>
      <w:r>
        <w:t>Les griefs des recours contre la missive et la décision susdites sont essentiellement identiques à ceux de la récusation. Il en ressort que les recourants ont utilisé la voie du recours au sens des art. 393ss CPP pour tenter d’obtenir la récusation de C., alors que seule la procédure de récusation au sens des art. 56 CPP existe à cette fin. Ce procédé doit être qualifié d’abusif et conduit au rejet des conclusions relatives à l’annulation des actes querellés. Du reste, les conclusions prises par les recourants manquent du minimum de rigueur juridique attendu de mandataires professionnels: d’une part il faut trouver la demande de récusation au détour d’une lettre sans indication particulière ni conclusion formelle (BB.2019.104- 105, act. 1, p. 3im), d’autre part la récusation est demandée expressément dans un recours (BB.2019.114-115, act. 1, p. 3, pt. 6), accompagnée de conclusions (BB.2019.114-115, act. 1, p. 3, pt. 4; BB.2019101-102, act. 1, p. 2, p. 3) qui tendent à ordonner au MPC des mesures à futur ou sont de nature constatatoire (BB.2019.114-115, act. 1, p. 3, pt. 5; BB.2019.114-115, act. 1, p. 3, pt. 4). Autorité de recours, la Cour de céans ne saurait ordonner au MPC d’agir avant d’avoir admis un recours suite à une décision de refus de l’autorité inférieure ou un déni de justice (art. 397 al. 2 et 4 CPP), et on discerne mal quelle disposition légale lui permettrait de « donner acte aux recourants qu’ils se réservent de solliciter l’annulation des actes visés […] » (BB.2019.114-115, act. 1, p. 3, pt. 5; BB.2019.114-115, act. 1, p. 3, pt. 4).</w:t>
      </w:r>
    </w:p>
    <w:p>
      <w:r>
        <w:rPr>
          <w:b/>
        </w:rPr>
        <w:t>E. 2.9</w:t>
      </w:r>
    </w:p>
    <w:p>
      <w:r>
        <w:t>Par conséquent les recours sont rejetés dans la mesure de leur recevabilité.</w:t>
      </w:r>
    </w:p>
    <w:p>
      <w:r>
        <w:t>- 8 -</w:t>
      </w:r>
    </w:p>
    <w:p>
      <w:r>
        <w:t>3. Les frais de la procédure de recours sont mis à la charge des parties dans la mesure où elles ont obtenu gain de cause ou succombé. La partie dont le recours est irrecevable est également considérée avoir succombé (art. 428 al. 1 CPP). Les recourants/requérants supporteront solidairement les frais de la présente décision et des décisions incidentes rendues dans la présente procédure (supra let. F), lesquels se limiteront en l'espèce à un émolument. En application de l'art. 8 du règlement du Tribunal pénal fédéral sur les frais, émoluments, dépens et indemnités de la procédure pénale fédérale (RFPPF; RS 173.713.612), ce dernier est fixé à CHF 5'000.-- .</w:t>
      </w:r>
    </w:p>
    <w:p>
      <w:r>
        <w:t>- 9 -</w:t>
      </w:r>
    </w:p>
    <w:p>
      <w:r>
        <w:rPr>
          <w:b/>
        </w:rPr>
        <w:t>E. 7</w:t>
      </w:r>
    </w:p>
    <w:p>
      <w:r>
        <w:t>décembre 2018 consid. 4.2.2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