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BB.2018.94 vom 4. Juni 2018</w:t>
      </w:r>
    </w:p>
    <w:p>
      <w:r>
        <w:t>Bundesstrafgericht, 2018-06-04, DE</w:t>
      </w:r>
    </w:p>
    <w:p>
      <w:r>
        <w:rPr>
          <w:b/>
        </w:rPr>
        <w:t xml:space="preserve">Quelle: </w:t>
      </w:r>
      <w:r>
        <w:t>https://mcp.opencaselaw.ch/entscheid/bstger_BB.2018.94</w:t>
      </w:r>
    </w:p>
    <w:p>
      <w:r>
        <w:t>FR: TPF BB.2018.94 du 4 juin 2018</w:t>
      </w:r>
    </w:p>
    <w:p>
      <w:r>
        <w:t>IT: TPF BB.2018.94 del 4 giugno 2018</w:t>
      </w:r>
    </w:p>
    <w:p>
      <w:pPr>
        <w:pStyle w:val="Heading2"/>
      </w:pPr>
      <w:r>
        <w:t>Regeste</w:t>
      </w:r>
    </w:p>
    <w:p>
      <w:r>
        <w:t>Ausstand des erstinstanzlichen Gerichts (Art. 59 Abs. 1 lit. b i.V.m. Art. 56 StPO).</w:t>
      </w:r>
    </w:p>
    <w:p>
      <w:pPr>
        <w:pStyle w:val="Heading2"/>
      </w:pPr>
      <w:r>
        <w:t>Erwägungen</w:t>
      </w:r>
    </w:p>
    <w:p>
      <w:r>
        <w:rPr>
          <w:b/>
        </w:rPr>
        <w:t>E. 1.1</w:t>
      </w:r>
    </w:p>
    <w:p>
      <w:r>
        <w:t>Ist die Strafkammer des Bundesstrafgerichts betroffen und wird ein Aus- standsgrund nach Art. 56 lit. a oder f StPO geltend gemacht (Ausstand we- gen persönlichem Interesse an der Sache oder aus anderen Gründen), so entscheidet ohne weiteres Beweisverfahren und endgültig die Beschwerde- kammer des Bundesstrafgerichts (Art. 59 Abs. 1 lit. b StPO i.V.m. Art. 37 Abs. 1 des Bundesgesetzes vom 19. März 2010 über die Organisation der Strafbehörden des Bundes (Strafbehördenorganisationsgesetz, StBOG; SR 173.71).</w:t>
      </w:r>
    </w:p>
    <w:p>
      <w:r>
        <w:rPr>
          <w:b/>
        </w:rPr>
        <w:t>E. 1.2</w:t>
      </w:r>
    </w:p>
    <w:p>
      <w:r>
        <w:t>Gemäss Art. 58 Abs. 1 StPO hat die Partei, die den Ausstand einer in einer Strafbehörde tätigen Person verlangt, der Verfahrensleitung ohne Verzug ein entsprechendes Gesuch zu stellen, sobald sie vom Ausstandsgrund Kennt- nis hat; die den Ausstand begründenden Tatsachen sind glaubhaft zu ma- chen. Nach der Rechtsprechung ist der Ausstand in den nächsten Tagen nach Kenntnisnahme zu verlangen; andernfalls verwirkt der Anspruch. Nach der Rechtsprechung gilt ein Ausstandsgesuch, das sechs bis sieben Tage</w:t>
      </w:r>
    </w:p>
    <w:p>
      <w:r>
        <w:t>- 5 -</w:t>
      </w:r>
    </w:p>
    <w:p>
      <w:r>
        <w:t>nach Kenntnis des Ausstandsgrunds eingereicht wird, als rechtzeitig. Ein Zu- warten während zwei oder drei Wochen hingegen, ist nicht zulässig (Urteile des Bundesgerichts 1B_252/2016 vom 14. Dezember 2016 E. 2.3; 1B_274/2013 vom 19. November 2013 E. 4.1 mit Hinweisen; BOOG, Basler Kommentar, 2. Aufl. 2014, N. 5 zu Art. 58 StPO).</w:t>
      </w:r>
    </w:p>
    <w:p>
      <w:r>
        <w:rPr>
          <w:b/>
        </w:rPr>
        <w:t>E. 1.3</w:t>
      </w:r>
    </w:p>
    <w:p>
      <w:r>
        <w:t>Das Ausstandsgesuch vom 25. Mai 2018 reagiert auf die Verfügung vom 24. Mai 2018 und ist somit rechtzeitig erfolgt. Auch die weiteren Vorausset- zungen für einen Sachentscheid liegen vor. Auf das Ausstandsgesuch ist einzutreten.</w:t>
      </w:r>
    </w:p>
    <w:p>
      <w:r>
        <w:rPr>
          <w:b/>
        </w:rPr>
        <w:t>E. 2.1</w:t>
      </w:r>
    </w:p>
    <w:p>
      <w:r>
        <w:t>Die Verteidigung verlangt den Ausstand gestützt auf Art. 56 lit. f StPO. Ge- mäss Art. 56 lit. f StPO hat in den Ausstand zu treten, wer aus anderen Grün- den, insbesondere wegen Freundschaft oder Feindschaft mit einer Partei oder deren Rechtsbeistand, befangen sein könnte.</w:t>
      </w:r>
    </w:p>
    <w:p>
      <w:r>
        <w:rPr>
          <w:b/>
        </w:rPr>
        <w:t>E. 2.2</w:t>
      </w:r>
    </w:p>
    <w:p>
      <w:r>
        <w:t>Art. 56 StPO konkretisiert die Verfassungsbestimmung von Art. 30 Abs. 1 BV sowie Art. 6 Abs. 1 EMRK. Danach hat jede Person Anspruch darauf, dass ihre Sache von einem unparteiischen, unvoreingenommenen und unbefan- genen Richter unter Einschluss weiterer am Entscheid wesentlich beteiligter Gerichtspersonen (insbesondere Gerichtsschreibern) ohne Einwirken sach- fremder Umstände entschieden wird. Die Garantie des verfassungsmässi- gen Richters soll zu der für einen korrekten und fairen Prozess erforderlichen Offenheit des Verfahrens im Einzelfall beitragen und damit ein gerechtes Ur- teil ermöglichen. Sie wird verletzt, wenn bei objektiver Betrachtung Gege- 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 scher Natur begründet sein (BGE 138 I 425 E. 4.2.1 S. 428 m.w.H.).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 genheit und Voreingenommenheit erwecken. Für die Ablehnung wird nicht verlangt, dass der Richter tatsächlich befangen ist (siehe u. a. BGE 143 IV 69 E. 3.2; 141 IV 178 E. 3.2.1; 138 IV 142 E. 2.1 S. 144 f.; BGE 5A_701/2017 vom 14. Mai 2018 E. 4.3; TPF 2012 37 E. 2.2 S. 38 f.). Bei der Anwendung von Art. 56 lit. f StPO ist entscheidendes Kriterium, ob bei objektiver Betrach- tungsweise der Ausgang des Verfahrens noch als offen erscheint (BGE 138 I 425 E. 4.2.1 S. 429; TPF 2012 37 E. 2.2 S. 39).</w:t>
      </w:r>
    </w:p>
    <w:p>
      <w:r>
        <w:t>- 6 -</w:t>
      </w:r>
    </w:p>
    <w:p>
      <w:r>
        <w:rPr>
          <w:b/>
        </w:rPr>
        <w:t>E. 2.3</w:t>
      </w:r>
    </w:p>
    <w:p>
      <w:r>
        <w:t>Der Gesuchsteller bringt vor, der Spruchkörper habe sich zur Vorbereitung der Hauptverhandlung mit den Akten im Gesamten befassen müssen, mithin auch mit den auszusondernden Akten. Ein einmal bestehendes Wissen lasse sich nicht mehr rückgängig machen. Gerade deshalb bestünden auch die Aussonderungsvorschriften, mit der geforderten physischen Trennung von unverwertbaren Akten. Es sei nicht vorstellbar, wie sich das Gericht ohne das Wissen um die Inhalte der auszusondernden Aktenteile mit dem Fall be- fassen könne. Daher sei der Anschein der Befangenheit gegeben (act. 1 S. 4). Denn nur wenn die Richter dieses Wissen aus dem Gedächtnis lö- schen könnten, vermöchten sie ihre Überzeugung und damit ihr Urteil ohne Vorbefassung zu bilden. Wer zum Beispiel ein Geständnis eines Mörders gelesen habe, werde bei der Bewertung von Zeugenaussagen zu anderen Schlüssen gelangen, als einer, der das Geständnis nicht gelesen habe. Das sei menschlich unvermeidbar. Die herrschende Lehre fordere denn auch, dass bei einem Scheitern des abgekürzten Verfahrens das anschliessende ordentliche Verfahren von einem neuen Staatsanwalt durchgeführt werde. Nicht anders müsse es sich aber auch hier verhalten. Es bestehe eine Be- sorgnis der Befangenheit bezüglich des Spruchkörpers (act. 8 S. 2 f.). Die Gesuchsgegner erklären gleichlautend, sich als Folge der verfügten Ak- tenaussonderung keineswegs befangen zu fühlen und geben die gewissen- hafte Erklärung ab, in der Strafsache unvoreingenommen entscheiden zu können. Sie weisen in ihrer Stellungnahme im Übrigen darauf hin, dass der Ausstand aus objektiven, verfahrensrechtlichen Überlegungen verlangt werde und keine in der Person liegenden Gründe geltend gemacht würden (act. 3–6).</w:t>
      </w:r>
    </w:p>
    <w:p>
      <w:r>
        <w:rPr>
          <w:b/>
        </w:rPr>
        <w:t>E. 2.4</w:t>
      </w:r>
    </w:p>
    <w:p>
      <w:r>
        <w:t>In der Rechtsprechung des Bundesgerichts führt der Umstand, dass unver- wertbare Einvernahmeprotokolle bei den Akten belassen wurden, nicht per se dazu, dass das Berufungsgericht nach der Rückweisung neu besetzt wer- den muss (vgl. Urteil des Bundesgerichts 6B_542/2016 vom 5. Mai 2017 E. 4). BGE 143 IV 475 E. 2.7 legt in fine dar, dass die Frage der Verwertbar- keit von Beweismitteln immer noch einer abschliessenden Prüfung durch das erkennende Sachgericht bzw. die den Endentscheid verfügende Strafbe- hörde zugeführt werden könne. Nach der Praxis des höchsten Gerichts kann von Strafrichterinnen und Strafrichtern denn auch erwartet werden, dass sie in der Lage sind, die unzulässigen Beweismittel von den zulässigen zu un- terscheiden und sich bei der Beweiswürdigung ausschliesslich auf Letztere zu stützen (Urteil 1B_491/2017 vom 5. April 2018 E. 4.5; BGE 141 IV 284 E. 2.2 S. 287; 289 E. 1.2 S. 291 f.). Das Bundesgericht stellt im Urteil 1B_491/2017 vom 5. April 2018 E. 4.5 ausdrücklich fest, mit BGE 143 IV 475 nicht von dieser Praxis abgerückt zu sein.</w:t>
      </w:r>
    </w:p>
    <w:p>
      <w:r>
        <w:t>- 7 -</w:t>
      </w:r>
    </w:p>
    <w:p>
      <w:r>
        <w:rPr>
          <w:b/>
        </w:rPr>
        <w:t>E. 2.5</w:t>
      </w:r>
    </w:p>
    <w:p>
      <w:r>
        <w:t>Vorliegend bestehen keine objektiven Anzeichen von Befangenheit. Entge- gen der Ansicht des Gesuchstellers ergibt sich eine solche gemäss der bun- desgerichtlichen Rechtsprechung weder aus der reinen Kenntnis von auszu- sondernden Beweismitteln noch will das Gesetz diese Kenntnis des Sach- gerichts unbedingt vermeiden. Neben den berechtigten Erwartungen an Strafrichter schliesst auch die gesetzliche Begründungspflicht (Art. 81 Abs. 1 lit. b und Abs. 3 StPO) von Strafentscheiden aus, dass eine blosse Kenntnis (ob bewusst oder unbewusst) den Anschein der Befangenheit begründen könnte. Denn in der Begründung hat sich ein Strafgericht nachvollziehbar damit auseinander zu setzen, was für sein Urteil wesentlich ist. Liegt damit kein Ausstandsgrund vor, gehen die erhobenen Rügen fehl.</w:t>
      </w:r>
    </w:p>
    <w:p>
      <w:r>
        <w:rPr>
          <w:b/>
        </w:rPr>
        <w:t>E. 3</w:t>
      </w:r>
    </w:p>
    <w:p>
      <w:r>
        <w:t>Bei diesem Ausgang des Verfahrens wird der Gesuchsteller kostenpflichtig (Art. 59 Abs. 4 StPO). Die Gerichtsgebühr ist auf Fr. 2'000.-- festzusetzen (Art. 73 StBOG i.V.m. Art. 5 und 8 Abs. 1 des Reglements des Bundesstraf- gerichts vom 31. August 2010 über die Kosten, Gebühren und Entschädi- 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