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BB.2018.89 vom 14. Juni 2018</w:t>
      </w:r>
    </w:p>
    <w:p>
      <w:r>
        <w:t>Bundesstrafgericht, 2018-06-14, DE</w:t>
      </w:r>
    </w:p>
    <w:p>
      <w:r>
        <w:rPr>
          <w:b/>
        </w:rPr>
        <w:t xml:space="preserve">Quelle: </w:t>
      </w:r>
      <w:r>
        <w:t>https://mcp.opencaselaw.ch/entscheid/bstger_BB.2018.89</w:t>
      </w:r>
    </w:p>
    <w:p>
      <w:r>
        <w:t>FR: TPF BB.2018.89 du 14 juin 2018</w:t>
      </w:r>
    </w:p>
    <w:p>
      <w:r>
        <w:t>IT: TPF BB.2018.89 del 14 giugno 2018</w:t>
      </w:r>
    </w:p>
    <w:p>
      <w:pPr>
        <w:pStyle w:val="Heading2"/>
      </w:pPr>
      <w:r>
        <w:t>Regeste</w:t>
      </w:r>
    </w:p>
    <w:p>
      <w:r>
        <w:t>Hausdurchsuchung (Art. 244 f. StPO). Durchsuchung von Aufzeichnungen (Art. 246 f.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 lich geschütztes Interesse an der Aufhebung oder Änderung des angefoch- tenen Entscheides haben (Art. 382 Abs. 1 StPO; Botschaft vom 21. Dezem- ber 2005 zur Vereinheitlichung des Strafprozessrechts, BBl 2006 S. 1308). Die Beschwerde gegen schriftlich oder mündlich eröffnete Entscheide ist in- nert zehn Tagen schriftlich und begründet einzureichen (Art. 396 Abs. 1 StPO). Mit ihr gerügt werden können gemäss Art. 393 Abs. 2 StPO Rechts- verletzungen, einschliesslich Überschreitung und Missbrauch des Ermes- sens, Rechtsverweigerung und Rechtsverzögerung (lit. a), die unvollstän- dige oder unrichtige Feststellung des Sachverhalts (lit. b) sowie die Unange- messenheit (lit. c).</w:t>
      </w:r>
    </w:p>
    <w:p>
      <w:r>
        <w:rPr>
          <w:b/>
        </w:rPr>
        <w:t>E. 1.2.1</w:t>
      </w:r>
    </w:p>
    <w:p>
      <w:r>
        <w:t>Ein rechtlich geschütztes Interesse an der Aufhebung oder Änderung eines Entscheides und damit eine für das Vorliegen der Beschwerdelegitimation erforderliche Beschwer ist nur dann zu bejahen, wenn der Beschwerdeführer selbst in seinen eigenen Rechten unmittelbar und direkt betroffen ist (vgl. zum Ganzen ausführlich GUIDON, Die Beschwerde gemäss Schweizerischer Strafprozessordnung, 2011, N. 232 ff.; SCHMID/JOSITSCH, Handbuch des schweizerischen Strafprozessrechts, 3. Aufl. 2017, N. 1458; Das Interesse an der Aufhebung oder Änderung eines Entscheides gemäss Art. 382 Abs. 1 StPO hat nach der bundesgerichtlichen Rechtsprechung zudem ein aktuelles und praktisches zu sein (statt vieler: Urteil des Bundesgerichts 6B_1153/2016 vom 23. Januar 2018 E. 2.3.1).</w:t>
      </w:r>
    </w:p>
    <w:p>
      <w:r>
        <w:rPr>
          <w:b/>
        </w:rPr>
        <w:t>E. 1.2.2</w:t>
      </w:r>
    </w:p>
    <w:p>
      <w:r>
        <w:t>Die mit vorliegender Beschwerde angefochtene Hausdurchsuchung ist je- doch bereits abgeschlossen, weshalb es den Beschwerdeführern an einem aktuellen und praktischen Interesse an der Aufhebung oder Änderung der Anordnung der Hausdurchsuchung fehlt (BGE 118 IV 67 E. 1c.; TPF 2004 34 E. 2.2; Beschluss des Bundesstrafgerichts BB.2012.158 vom 7. Juni 2013 E. 1.2.1). Eine ausnahmsweise Überprüfung der Hausdurchsuchung in die- ser Phase drängt sich nicht auf, da die von der Rechtsprechung dafür entwi- ckelten Grundsätze offensichtlich nicht erfüllt sind (vgl. BGE 118 IV 67 E. 1d; TPF 2004 34 E. 2.2). Den Betroffenen steht dagegen im weiterem Verfahren voller gerichtlicher Rechtsschutz zu (Bundesgerichtsentscheide 1B_360/2013 vom 24. März 2013 E. 2.2; 1B_310/2012). So kann die Frage,</w:t>
      </w:r>
    </w:p>
    <w:p>
      <w:r>
        <w:t>- 4 -</w:t>
      </w:r>
    </w:p>
    <w:p>
      <w:r>
        <w:t>ob die Durchsuchung rechtens war, in einem Entsiegelungsverfahren oder Beschwerdeverfahren gegen eine Beschlagnahme geprüft werden. Für se- parate Feststellungen besteht in der Regel ohnehin kein rechtlich geschütz- tes Interesse. Entsprechend ist auf den Antrag, es sei festzustellen, dass die Hausdurchsuchungen rechtswidrig waren, nicht einzutreten.</w:t>
      </w:r>
    </w:p>
    <w:p>
      <w:r>
        <w:rPr>
          <w:b/>
        </w:rPr>
        <w:t>E. 1.3</w:t>
      </w:r>
    </w:p>
    <w:p>
      <w:r>
        <w:t>Nicht einzutreten ist auch auf den im Rahmen der Beschwerde gestellten Antrag, das Strafverfahren sei einzustellen. Ein derartiger Antrag wäre bei der Beschwerdegegnerin als der verfahrensleitenden Behörde des Strafver- fahrens (siehe Art. 61 lit. a StPO) zu unterbreiten gewesen. Die Ablehnung eines solchen Antrages ist zudem grundsätzlich nicht beschwerdefähig (Ur- teil des Bundesgerichts 1B_209/2011 vom 6. September 2011 E. 2).</w:t>
      </w:r>
    </w:p>
    <w:p>
      <w:r>
        <w:rPr>
          <w:b/>
        </w:rPr>
        <w:t>E. 1.4</w:t>
      </w:r>
    </w:p>
    <w:p>
      <w:r>
        <w:t>Nicht einzutreten ist auch auf den Antrag, die BA sei anzuweisen, den Be- schuldigten Akteneinsicht zu gewähren. Ein Gesuch um Akteneinsicht ist bei der BA zu stellen. Wird es ganz oder teilweise abgelehnt, kann dagegen Be- schwerde erhoben werden. Für eine Anweisung an die BA, Akteneinsicht zu gewähren, besteht in einem Beschwerdeverfahren gegen eine Hausdurch- suchung kein Raum.</w:t>
      </w:r>
    </w:p>
    <w:p>
      <w:r>
        <w:rPr>
          <w:b/>
        </w:rPr>
        <w:t>E. 1.5</w:t>
      </w:r>
    </w:p>
    <w:p>
      <w:r>
        <w:t>Dementsprechend ist auf die Beschwerde in vollem Umfang nicht einzutre- ten.</w:t>
      </w:r>
    </w:p>
    <w:p>
      <w:r>
        <w:rPr>
          <w:b/>
        </w:rPr>
        <w:t>E. 2</w:t>
      </w:r>
    </w:p>
    <w:p>
      <w:r>
        <w:t>Das Gesuch der Beschwerdeführer um Erteilung der aufschiebenden Wir- kung der Beschwerde wird mit dem vorliegenden Entscheid hinfällig und ist als gegenstandslos abzuschreiben.</w:t>
      </w:r>
    </w:p>
    <w:p>
      <w:r>
        <w:rPr>
          <w:b/>
        </w:rPr>
        <w:t>E. 3</w:t>
      </w:r>
    </w:p>
    <w:p>
      <w:r>
        <w:t>Bei diesem Ausgang des Verfahrens haben die Beschwerdeführer je zu ei- nem Drittel und – gestützt auf Art. 418 Abs. 2 StPO – unter solidarischer Haftbarkeit die Gerichtskosten zu tragen (Art. 428 Abs. 1 StPO). Die Ge- richtsgebühr ist auf Fr. 2'000.-- festzusetzen (Art. 73 StBOG i.V.m. Art. 5 und</w:t>
      </w:r>
    </w:p>
    <w:p>
      <w:r>
        <w:rPr>
          <w:b/>
        </w:rPr>
        <w:t>E. 8</w:t>
      </w:r>
    </w:p>
    <w:p>
      <w:r>
        <w:t>Abs. 1 des Reglements des Bundesstrafgerichts vom 31. August 2010 über die Kosten, Gebühren und Entschädigungen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