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BB.2018.7 vom 16. Februar 2018</w:t>
      </w:r>
    </w:p>
    <w:p>
      <w:r>
        <w:t>Bundesstrafgericht, 2018-02-16, DE</w:t>
      </w:r>
    </w:p>
    <w:p>
      <w:r>
        <w:rPr>
          <w:b/>
        </w:rPr>
        <w:t xml:space="preserve">Quelle: </w:t>
      </w:r>
      <w:r>
        <w:t>https://mcp.opencaselaw.ch/entscheid/bstger_BB.2018.7</w:t>
      </w:r>
    </w:p>
    <w:p>
      <w:r>
        <w:t>FR: TPF BB.2018.7 du 16 février 2018</w:t>
      </w:r>
    </w:p>
    <w:p>
      <w:r>
        <w:t>IT: TPF BB.2018.7 del 16 febbraio 2018</w:t>
      </w:r>
    </w:p>
    <w:p>
      <w:pPr>
        <w:pStyle w:val="Heading2"/>
      </w:pPr>
      <w:r>
        <w:t>Regeste</w:t>
      </w:r>
    </w:p>
    <w:p>
      <w:r>
        <w:t>Ausstand des erstinstanzlichen Gerichts (Art. 59 Abs. 1 lit. b i.V.m. Art. 56 StPO). Rückzug des Ausstandsgesuchs.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Mai 2017, E. 2.2);</w:t>
      </w:r>
    </w:p>
    <w:p>
      <w:r>
        <w:t>- analog zu Art. 386 Abs. 2 lit. b StPO das Ausstandsgesuch bis zum Ab- schluss des Schriftenwechsels zurückgezogen werden kann;</w:t>
      </w:r>
    </w:p>
    <w:p>
      <w:r>
        <w:t>- der Rückzug des Ausstandsgesuchs den Rechtsstreit beendet, weshalb das Ausstandsverfahren als erledigt abgeschrieben werden kann;</w:t>
      </w:r>
    </w:p>
    <w:p>
      <w:r>
        <w:t>- bei diesem Ausgang des Verfahrens der Gesuchsteller die Kosten zu tragen hat (Art. 59 Abs. 4 StPO und Art. 428 Abs. 1 StPO analog);</w:t>
      </w:r>
    </w:p>
    <w:p>
      <w:r>
        <w:t>- diese auf Fr. 500.-- festzusetzen sind (Art. 73 StBOG und Art. 5 und 8 Abs. 1 BStKR).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