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BB.2018.63 vom 2. Mai 2018</w:t>
      </w:r>
    </w:p>
    <w:p>
      <w:r>
        <w:t>Bundesstrafgericht, 2018-05-02, DE</w:t>
      </w:r>
    </w:p>
    <w:p>
      <w:r>
        <w:rPr>
          <w:b/>
        </w:rPr>
        <w:t xml:space="preserve">Quelle: </w:t>
      </w:r>
      <w:r>
        <w:t>https://mcp.opencaselaw.ch/entscheid/bstger_BB.2018.63</w:t>
      </w:r>
    </w:p>
    <w:p>
      <w:r>
        <w:t>FR: TPF BB.2018.63 du 2 mai 2018</w:t>
      </w:r>
    </w:p>
    <w:p>
      <w:r>
        <w:t>IT: TPF BB.2018.63 del 2 maggio 2018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2. Mai 2018 Beschwerdekammer Besetzung</w:t>
      </w:r>
    </w:p>
    <w:p>
      <w:r>
        <w:t>Bundesstrafrichter Giorgio Bomio-Giovanascini, Vorsitz, Andreas J. Keller und Stephan Blättler, Gerichtsschreiberin Chantal Blättler Grivet Fojaja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BB.2018.63</w:t>
      </w:r>
    </w:p>
    <w:p>
      <w:r>
        <w:t>- 2 -</w:t>
      </w:r>
    </w:p>
    <w:p>
      <w:r>
        <w:t>Die Beschwerdekammer hält fest, dass:</w:t>
      </w:r>
    </w:p>
    <w:p>
      <w:r>
        <w:t>- mit Eingabe vom 6. April 2018 A. bei der Bundesanwaltschaft Anzeige gegen Bundesrichter B. und „allenfalls gegen weitere Richterinnen und Richter der Strafrechtlichen Abteilung des Bundesgerichts“ Anzeige wegen Amtsmiss- brauchs (Art. 312 StGB) erstattete (Verfahrensakten BA, Ordner Lasche 1);</w:t>
      </w:r>
    </w:p>
    <w:p>
      <w:r>
        <w:t>- nach Ansicht von A. Bundesrichter B. im Urteil X. vom 25. September 2017 wissentlich und willentlich gegen Art. 81 Abs. 1 lit. b BGG verstossen habe, indem auf eine Beschwerde A.s mangels angeblicher Legitimation nicht ein- getreten worden sei;</w:t>
      </w:r>
    </w:p>
    <w:p>
      <w:r>
        <w:t>- die Bundesanwaltschaft am 16. April 2018 die Nichtanhandnahme der Straf- sache verfügte (act. 1.1);</w:t>
      </w:r>
    </w:p>
    <w:p>
      <w:r>
        <w:t>- dagegen A. mit Beschwerde vom 23 April 2018 an die Beschwerdekammer des Bundesstrafgerichts gelangte und sinngemäss die Aufhebung der Nicht- anhandnahmeverfügung vom 16. April 2018 beantragte (act. 1);</w:t>
      </w:r>
    </w:p>
    <w:p>
      <w:r>
        <w:t>- auf die Durchführung eines Schriftenwechsels verzichtet wird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Bundesanwaltschaft mit Nichtanhandnahmeverfügung vom 16. April 2018 mangels hinreichenden Tatverdachts keine Strafuntersuchung eröff- nete;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den Eingaben des Beschwerdeführers offensichtlich kein konkreter Sachver- halt entnommen werden kann, der einen hinreichenden Tatverdacht begrün- den könnte; sich die Einwendungen des Beschwerdeführers lediglich gegen den Inhalt des Urteils richten;</w:t>
      </w:r>
    </w:p>
    <w:p>
      <w:r>
        <w:t>- 3 -</w:t>
      </w:r>
    </w:p>
    <w:p>
      <w:r>
        <w:t>- ein für den Beschwerdeführer ungünstiger richterlicher Entscheid in aller Re- gel keinen Amtsmissbrauch darstellt; vorliegend denn auch keine Anhalts- punkte dafür bestehen, dass Bundesrichter B. seine Amtsgewalt miss- braucht hätte; im Absprechen der Beschwerdelegitimation des Beschwerde- führers gestützt auf die zu Art. 81 Abs. 1 lit. b Ziff. 5 BGG entwickelte bun- desgerichtliche Rechtsprechung jedenfalls kein Missbrauch der Amtsgewalt durch Bundesrichter B. erblickt werden kann;</w:t>
      </w:r>
    </w:p>
    <w:p>
      <w:r>
        <w:t>- die Beschwerdegegnerin daher zu Recht keine Strafuntersuchung eröffnet hat;</w:t>
      </w:r>
    </w:p>
    <w:p>
      <w:r>
        <w:t>- sich die Beschwerde damit als offensichtlich unbegründet erweist, weshalb sie abzuweisen ist;</w:t>
      </w:r>
    </w:p>
    <w:p>
      <w:r>
        <w:t>- bei diesem Ausgang des Verfahrens der Beschwerdeführer die Kosten zu tragen hat (Art. 428 Abs. 1 StPO);</w:t>
      </w:r>
    </w:p>
    <w:p>
      <w:r>
        <w:t>- die Gerichtsgebühr auf Fr. 300.-- festzusetzen ist (Art. 73 StBOG und Art. 5 und 8 Abs. 1 BStKR).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300.-- wird dem Beschwerdeführer auferlegt.</w:t>
      </w:r>
    </w:p>
    <w:p>
      <w:r>
        <w:t>Bellinzona, 2. Mai 2018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Bundesanwaltschaft, unter Beilage von act. 1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