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BB.2018.59 vom 26. Juli 2018</w:t>
      </w:r>
    </w:p>
    <w:p>
      <w:r>
        <w:t>Bundesstrafgericht, 2018-07-26, DE</w:t>
      </w:r>
    </w:p>
    <w:p>
      <w:r>
        <w:rPr>
          <w:b/>
        </w:rPr>
        <w:t xml:space="preserve">Quelle: </w:t>
      </w:r>
      <w:r>
        <w:t>https://mcp.opencaselaw.ch/entscheid/bstger_BB.2018.59</w:t>
      </w:r>
    </w:p>
    <w:p>
      <w:r>
        <w:t>FR: TPF BB.2018.59 du 26 juillet 2018</w:t>
      </w:r>
    </w:p>
    <w:p>
      <w:r>
        <w:t>IT: TPF BB.2018.59 del 26 luglio 2018</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20 Abs. 1 lit. b StPO und Art. 37 Abs. 1 StBOG). Zur Beschwerde berechtigt ist jede Partei oder jeder andere Verfahrensbeteiligte, welche oder welcher ein rechtlich ge- schütztes Interesse an der Aufhebung oder Änderung des angefochtenen Entscheides haben (Art. 382 Abs. 1 StPO; Botschaft vom 21. Dezember 2005 zur Vereinheitlichung des Strafprozessrechts, BBl 2006 1308).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1.2</w:t>
      </w:r>
    </w:p>
    <w:p>
      <w:r>
        <w:t>Der Beschwerdeführer ist Beschuldigter und damit Partei in der vorliegenden Strafuntersuchung (Art. 104 Abs. 1 lit. a StPO). Er ist durch die ihm gegen- über ergangene Verweigerung der vollständigen Akteneinsicht ohne Weite- res beschwert und somit zur Beschwerdeführung berechtigt (vgl. u. a. den Beschluss des Bundesstrafgerichts BB.2016.85 vom 8. November 2016 E. 1.2). Auf die im Übrigen frist- und formgerecht erhobene Beschwerde ist einzutreten.</w:t>
      </w:r>
    </w:p>
    <w:p>
      <w:r>
        <w:rPr>
          <w:b/>
        </w:rPr>
        <w:t>E. 2.1</w:t>
      </w:r>
    </w:p>
    <w:p>
      <w:r>
        <w:t>Der Beschwerdeführer argumentiert, er habe einen gesetzlichen und verfas- sungsmässig geschützten Anspruch auf Einsicht in die Strafakten. Dieser Anspruch könne zwar von Gesetzes wegen eingeschränkt werden, es wür- den in casu offensichtlich keine die Einschränkung rechtfertigenden Tatsa- chen vorliegen. Zumindest seien solche bis dato seitens der Beschwerde- gegnerin nicht geltend gemacht worden. Dies treffe insbesondere für eine</w:t>
      </w:r>
    </w:p>
    <w:p>
      <w:r>
        <w:t>- 4 -</w:t>
      </w:r>
    </w:p>
    <w:p>
      <w:r>
        <w:t>vermeintliche Kollusionsgefahr zu (act. 1 S. 5). Es sei nicht ersichtlich, wie eine Gewährung der Aktensicht den Untersuchungszweck gefährden könn- te. Dies gelte umso mehr, als ein bereits weit fortgeschrittenes Rechtshilfe- verfahren pendent sei und innerhalb dessen umfangreiche Abklärungen ge- troffen, ein Grossteil der belastenden Tatsachen bereits vorgehalten und Einsicht in die relevanten Rechtshilfeakten, welche teils aus den aus den Strafakten hinzugezogenen Aktenstücken bestünden, gewährt worden seien bzw. sei (act. 1 S. 5 f.). Es erscheine ebenso als missbräuchlich, die dem Beschwerdeführer zustehende Akteneinsicht mit dem Argument zu verwei- gern, dass bis dato noch keine Befragung des Beschuldigten stattgefunden habe, hänge diese doch allein von der Beschwerdegegnerin ab (act. 1 S. 7). In der Replik führte der Beschwerdeführer unter anderem aus, es sei für ihn unabdingbar, Einsicht in die Strafakte zu bekommen, um nachvollziehen zu können, worauf sich denn die Beschwerdegegnerin bei ihrer strafrechtlich erlassenen Beschlagnahme gestützt habe (act. 9 S. 6).</w:t>
      </w:r>
    </w:p>
    <w:p>
      <w:r>
        <w:rPr>
          <w:b/>
        </w:rPr>
        <w:t>E. 2.2</w:t>
      </w:r>
    </w:p>
    <w:p>
      <w:r>
        <w:t>Die Beschwerdegegnerin hält dem entgegen, dass von einem unbedingten Anspruch auf Gewährung der Akteneinsicht vor der ersten Einvernahme und der Erhebung der übrigen wichtigsten Beweise durch die Staatsanwaltschaft in Art. 101 Abs. 1 StPO sowohl in der deutschen wie auch in der französi- schen Fassung eindeutig nicht die Rede sei (act. 1.2 S. 3). Unausgespro- chen stellt sie sich somit auf den Standpunkt, dass die erste Einvernahme und die Erhebung der übrigen wichtigsten Beweise noch nicht erfolgt sind.</w:t>
      </w:r>
    </w:p>
    <w:p>
      <w:r>
        <w:t>Die Beschwerdegegnerin kündigte im Rahmen ihrer Beschwerdeantwort so- dann an, dass sie das Verfahren gegen den Beschwerdeführer gemäss Art. 314 Abs. 1 lit. b StPO sistieren werde, sobald über die Beschwerde ge- gen die Schlussverfügung im konnexen internationalen Rechtshilfeverfahren entschieden sei. Sie erachte es nicht als angebracht, das inländische Ver- fahren fortzuführen, d.h. dem Verdacht der strafbaren Herkunft der Vermö- genswerte der C. BV selber weiter nachzugehen. Sie gebe stattdessen den Vorrang den strafrechtlichen Untersuchungen in der Ukraine, wo diese mit Nachdruck geführt würden. Es liege im Interesse aller Beteiligten, dass die strafrechtlichen Vorwürfe mit Schwergewicht dort untersucht würden, wo sie sich zugetragen hätten. Das Ergebnis werde direkten Einfluss sowohl auf die rechtshilfeweise angeordnete Beschlagnahme als auch auf die Wiederauf- nahme, die definitive Einstellung des Verfahrens gegen den Beschwerdefüh- rer oder ein allfälliges Strafübernahmeersuchen der Bundesanwaltschaft an die Ukraine haben (act. 4).</w:t>
      </w:r>
    </w:p>
    <w:p>
      <w:r>
        <w:t>- 5 -</w:t>
      </w:r>
    </w:p>
    <w:p>
      <w:r>
        <w:t>Mit Duplik vom 20. Juni 2018 erklärte die Beschwerdegegnerin schliesslich, dass die Schlussverfügung vom 8. November 2017 im konnexen internatio- nalen Rechtshilfeverfahren inzwischen rechtskräftig sei. Sie habe deshalb am 20. Juni 2018 das verfahrensgegenständliche Strafverfahren gegen den Beschwerdeführer zugunsten der Ermittlungen der Strafverfolgungsbehör- den in der Ukraine sistiert (act. 12).</w:t>
      </w:r>
    </w:p>
    <w:p>
      <w:r>
        <w:rPr>
          <w:b/>
        </w:rPr>
        <w:t>E. 2.3</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 Zur Erhebung der wichtigsten Beweise gehören auch weitere Ein- vernahmen der beschuldigten Person zu den neuen Beweismitteln (SCHMUTZ, Basler Kommentar, 2. Aufl. 2014, Art. 101 StPO N. 15). Daneben können ebenso praktische Gründe einer sofortigen Akteneinsicht entgegen- stehen, etwa der Umstand, dass die Behörde hinzugezogene Akten aus zeit- lichen Gründen noch gar nicht zu analysieren vermochte (KELLER, Strafver- fahren des Bundes, AJP 2007, S. 197 ff., 200 mit Verweis auf den Entscheid des Bundesstrafgerichts BB.2005.14 vom 25. März 2005 E. 2.2).</w:t>
      </w:r>
    </w:p>
    <w:p>
      <w:r>
        <w:rPr>
          <w:b/>
        </w:rPr>
        <w:t>E. 2.4</w:t>
      </w:r>
    </w:p>
    <w:p>
      <w:r>
        <w:t>Der Beschwerdeführer ist Beschuldigter in der der angefochtenen Verfügung zu Grunde liegenden Strafuntersuchung. Seine erste Einvernahme durch die Beschwerdegegnerin ist bis dato noch nicht erfolgt. Dem Beschwerdeführer ist insofern zuzustimmen, als die Formulierung von Art. 101 Abs. 1 StPO of- fen gewählt ist und damit eine Akteneinsicht vor der ersten Einvernahme des Beschuldigten und vor der Erhebung der übrigen wichtigsten Beweise durch die Staatsanwaltschaft nicht ausschliesst. Damit wird aber der Staatsanwalt- schaft lediglich ein (zwar pflichtgemässes) Ermessen eingeräumt, das es zu berücksichtigen gilt (BGE 137 IV 280 E. 2.3). Indem die Beschwerdegegne- rin dem Beschwerdeführer die Akteneinsicht verweigerte mit der unausge- sprochenen Begründung, dass die Einvernahmen der beschuldigten Perso- nen noch nicht stattgefunden hätten und die wichtigsten Beweise noch nicht erhoben worden seien, hat sie ihr Ermessen nicht überschritten oder gar missbraucht. Auf die Frage, ob sich am Anspruch des Beschwerdeführers</w:t>
      </w:r>
    </w:p>
    <w:p>
      <w:r>
        <w:t>- 6 -</w:t>
      </w:r>
    </w:p>
    <w:p>
      <w:r>
        <w:t>während der Sistierungsdauer etwas ändern kann, braucht an dieser Stelle nicht weiter eingegangen zu werden.</w:t>
      </w:r>
    </w:p>
    <w:p>
      <w:r>
        <w:rPr>
          <w:b/>
        </w:rPr>
        <w:t>E. 3</w:t>
      </w:r>
    </w:p>
    <w:p>
      <w:r>
        <w:t>Die Beschwerde erweist sich nach dem Gesagten in allen Punkten als unbe- gründet. Sie ist daher abzuweisen.</w:t>
      </w:r>
    </w:p>
    <w:p>
      <w:r>
        <w:rPr>
          <w:b/>
        </w:rPr>
        <w:t>E. 4</w:t>
      </w:r>
    </w:p>
    <w:p>
      <w:r>
        <w:t>Bei diesem Ausgang des Verfahrens hat der Beschwerdeführer die Gerichts- kosten zu tragen (Art. 428 Abs. 1 StPO). Die Gerichtsgebühr ist auf Fr. 2‘000.-- festzusetzen (Art. 73 StBOG i.V.m.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