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BB.2018.42 vom 11. April 2018</w:t>
      </w:r>
    </w:p>
    <w:p>
      <w:r>
        <w:t>Bundesstrafgericht, 2018-04-11, DE</w:t>
      </w:r>
    </w:p>
    <w:p>
      <w:r>
        <w:rPr>
          <w:b/>
        </w:rPr>
        <w:t xml:space="preserve">Quelle: </w:t>
      </w:r>
      <w:r>
        <w:t>https://mcp.opencaselaw.ch/entscheid/bstger_BB.2018.42</w:t>
      </w:r>
    </w:p>
    <w:p>
      <w:r>
        <w:t>FR: TPF BB.2018.42 du 11 avril 2018</w:t>
      </w:r>
    </w:p>
    <w:p>
      <w:r>
        <w:t>IT: TPF BB.2018.42 del 11 aprile 2018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Februar 2018 einging und darin geltend gemacht wird, dass die Strafan- zeige offensichtlich entweder nicht gelesen oder nicht verstanden worden sei, weshalb um erneute Durchsicht derselben durch einen Sachverständi- gen ersucht werde (act. 1);</w:t>
      </w:r>
    </w:p>
    <w:p>
      <w:r>
        <w:t>- die Bundesanwaltschaft mit Schreiben vom 29. März 2018 der Beschwerde- kammer aufforderungsgemäss die Verfahrensakten zustellte (act. 4);</w:t>
      </w:r>
    </w:p>
    <w:p>
      <w:r>
        <w:t>- auf die Durchführung eines Schriftenwechsels verzichtet wird (Art. 390 Abs. 2 StPO e contrario).</w:t>
      </w:r>
    </w:p>
    <w:p>
      <w:r>
        <w:t>Die Beschwerdekammer zieht in Erwägung, dass:</w:t>
      </w:r>
    </w:p>
    <w:p>
      <w:r>
        <w:t>- die Staatsanwaltschaft eine Untersuchung eröffnet, namentlich wenn sich aus den Informationen und Berichten der Polizei, aus der Strafanzeige oder aus ihren eigenen Feststellungen ein hinreichender Tatverdacht ergibt (Art. 309 Abs. 1 lit. a StPO);</w:t>
      </w:r>
    </w:p>
    <w:p>
      <w:r>
        <w:t>- die Staatsanwaltschaft auf die Eröffnung verzichtet, wenn sie sofort eine Nichtanhandnahmeverfügung oder einen Strafbefehl erlässt (Art. 309 Abs. 4 StPO);</w:t>
      </w:r>
    </w:p>
    <w:p>
      <w:r>
        <w:t>- die Staatsanwaltschaft die Nichtanhandnahme verfügt, sobald aufgrund der Strafanzeige oder des Polizeirapports feststeht, dass die fraglichen Straftat- bestände oder die Prozessvoraussetzungen eindeutig nicht erfüllt sind (Art. 310 Abs. 1 lit. a StPO);</w:t>
      </w:r>
    </w:p>
    <w:p>
      <w:r>
        <w:t>- 3 -</w:t>
      </w:r>
    </w:p>
    <w:p>
      <w:r>
        <w:t>- den umfangreichen Eingaben (Grundversion und ergänzte Version) der Be- schwerdeführerin offensichtlich kein konkreter Sachverhalt entnommen wer- den kann, der einen hinreichenden Tatverdacht begründen könnte, weshalb die Bundesanwaltschaft berechtigt war, eine Nichtanhandnahmeverfügung zu erlassen;</w:t>
      </w:r>
    </w:p>
    <w:p>
      <w:r>
        <w:t>- sich die Beschwerde als offensichtlich unbegründet erweist, weshalb sie ab- zuweisen ist;</w:t>
      </w:r>
    </w:p>
    <w:p>
      <w:r>
        <w:t>- ausnahmsweise auf die Erhebung einer Gerichtsgebühr zu verzichten ist (Art. 73 Abs. 2 StBOG und Art. 5 BStKR).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