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BB.2018.32 vom 10. April 2018</w:t>
      </w:r>
    </w:p>
    <w:p>
      <w:r>
        <w:t>Bundesstrafgericht, 2018-04-10, FR</w:t>
      </w:r>
    </w:p>
    <w:p>
      <w:r>
        <w:rPr>
          <w:b/>
        </w:rPr>
        <w:t xml:space="preserve">Quelle: </w:t>
      </w:r>
      <w:r>
        <w:t>https://mcp.opencaselaw.ch/entscheid/bstger_BB.2018.32</w:t>
      </w:r>
    </w:p>
    <w:p>
      <w:r>
        <w:t>FR: TPF BB.2018.32 du 10 avril 2018</w:t>
      </w:r>
    </w:p>
    <w:p>
      <w:r>
        <w:t>IT: TPF BB.2018.32 del 10 aprile 2018</w:t>
      </w:r>
    </w:p>
    <w:p>
      <w:pPr>
        <w:pStyle w:val="Heading2"/>
      </w:pPr>
      <w:r>
        <w:t>Regeste</w:t>
      </w:r>
    </w:p>
    <w:p>
      <w:r>
        <w:t>Exécution anticipée des peines et des mesures (art. 236 CPP). Assistance judiciaire dans la procédure de recours (art. 29 al. 3 Cst).</w:t>
      </w:r>
    </w:p>
    <w:p>
      <w:pPr>
        <w:pStyle w:val="Heading2"/>
      </w:pPr>
      <w:r>
        <w:t>Erwägungen</w:t>
      </w:r>
    </w:p>
    <w:p>
      <w:r>
        <w:rPr>
          <w:b/>
        </w:rPr>
        <w:t>E. 1</w:t>
      </w:r>
    </w:p>
    <w:p>
      <w:r>
        <w:t>en lien avec I'art. 429 al. 1 let. a CPP; MIZEL/RETORNA, Commentaire romand, Code de procédure pénale suisse, 2011, n° 2 ad art. 436);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lorsque, comme en l’espèce, l'avocat ne fait pas parvenir le décompte de ses prestations avec son unique ou sa dernière écriture, le montant des honoraires est fixé selon l'appréciation de la Cour (art. 12 al. 2 RFPPF);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qu'au vu de la nature de l'affaire et de la difficulté de la cause, et dans les limites admises par le RFPPF, l'indemnité est fixée ex aequo et bono à CHF 500.-- (TVA comprise), à la charge du MPC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