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BB.2018.24 vom 2. Mai 2018</w:t>
      </w:r>
    </w:p>
    <w:p>
      <w:r>
        <w:t>Bundesstrafgericht, 2018-05-02, DE</w:t>
      </w:r>
    </w:p>
    <w:p>
      <w:r>
        <w:rPr>
          <w:b/>
        </w:rPr>
        <w:t xml:space="preserve">Quelle: </w:t>
      </w:r>
      <w:r>
        <w:t>https://mcp.opencaselaw.ch/entscheid/bstger_BB.2018.24</w:t>
      </w:r>
    </w:p>
    <w:p>
      <w:r>
        <w:t>FR: TPF BB.2018.24 du 2 mai 2018</w:t>
      </w:r>
    </w:p>
    <w:p>
      <w:r>
        <w:t>IT: TPF BB.2018.24 del 2 maggio 2018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Als Privatklägerschaft am Strafverfahren beteiligt sich diejenige geschädigte Person, die ausdrücklich die Absicht erklärt hat, als Straf- oder Zivilklägerin teilzunehmen (Art. 118 Abs. 1 StPO; sog. Konstituierung). Geschädigt ist, wer durch die Straftat in seinen Rechten unmittelbar verletzt wurde (Art. 115 Abs. 1 StPO; BGE 138 IV 258 E. 2.1). An die Konstituierung der Privatklä- gerschaft sind in einem frühen Stadium des Verfahrens keine hohen Anfor- derungen zu stellen (BGE 137 IV 246 E. 1.3.1).</w:t>
      </w:r>
    </w:p>
    <w:p>
      <w:r>
        <w:rPr>
          <w:b/>
        </w:rPr>
        <w:t>E. 1.2</w:t>
      </w:r>
    </w:p>
    <w:p>
      <w:r>
        <w:t>Nicht umstritten sind die Eintretensvoraussetzungen. Art. 312 StGB schützt (auch) den einzelnen Bürger vor dem missbräuchlichen Einsatz der Staats- gewalt durch Amtsträger (HEIMGARTNER, Basler Kommentar zum StGB,</w:t>
      </w:r>
    </w:p>
    <w:p>
      <w:r>
        <w:rPr>
          <w:b/>
        </w:rPr>
        <w:t>E. 3</w:t>
      </w:r>
    </w:p>
    <w:p>
      <w:r>
        <w:t>In Würdigung der massgebenden Kriterien und Umstände ist keine Gerichts- gebühr zu erheben.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