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BB.2018.199 vom 4. Dezember 2018</w:t>
      </w:r>
    </w:p>
    <w:p>
      <w:r>
        <w:t>Bundesstrafgericht, 2018-12-04, DE</w:t>
      </w:r>
    </w:p>
    <w:p>
      <w:r>
        <w:rPr>
          <w:b/>
        </w:rPr>
        <w:t xml:space="preserve">Quelle: </w:t>
      </w:r>
      <w:r>
        <w:t>https://mcp.opencaselaw.ch/entscheid/bstger_BB.2018.199</w:t>
      </w:r>
    </w:p>
    <w:p>
      <w:r>
        <w:t>FR: TPF BB.2018.199 du 4 décembre 2018</w:t>
      </w:r>
    </w:p>
    <w:p>
      <w:r>
        <w:t>IT: TPF BB.2018.199 del 4 dicembre 2018</w:t>
      </w:r>
    </w:p>
    <w:p>
      <w:pPr>
        <w:pStyle w:val="Heading2"/>
      </w:pPr>
      <w:r>
        <w:t>Regeste</w:t>
      </w:r>
    </w:p>
    <w:p>
      <w:r>
        <w:t>Nichtanhandnahmeverfügung (Art. 310 i.V.m. Art. 322 Abs. 2 StPO).</w:t>
      </w:r>
    </w:p>
    <w:p>
      <w:pPr>
        <w:pStyle w:val="Heading2"/>
      </w:pPr>
      <w:r>
        <w:t>Volltext</w:t>
      </w:r>
    </w:p>
    <w:p>
      <w:r>
        <w:t>Beschluss vom 4. Dezember 2018 Beschwerdekammer Besetzung</w:t>
      </w:r>
    </w:p>
    <w:p>
      <w:r>
        <w:t>Bundesstrafrichter Giorgio Bomio-Giovanascini, Vorsitz, Andreas J. Keller und Cornelia Cova, Gerichtsschreiberin Chantal Blättler Grivet Fojaja</w:t>
      </w:r>
    </w:p>
    <w:p>
      <w:r>
        <w:t>Parteien</w:t>
      </w:r>
    </w:p>
    <w:p>
      <w:r>
        <w:t>A., Beschwerdeführer</w:t>
      </w:r>
    </w:p>
    <w:p>
      <w:r>
        <w:t>gegen</w:t>
      </w:r>
    </w:p>
    <w:p>
      <w:r>
        <w:t>BUNDESANWALTSCHAFT, Beschwerdegegnerin</w:t>
      </w:r>
    </w:p>
    <w:p>
      <w:r>
        <w:t>Gegenstand</w:t>
      </w:r>
    </w:p>
    <w:p>
      <w:r>
        <w:t>Nichtanhandnahmeverfügung (Art. 310 i.V.m. Art. 322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BB.2018.199</w:t>
      </w:r>
    </w:p>
    <w:p>
      <w:r>
        <w:t>- 2 -</w:t>
      </w:r>
    </w:p>
    <w:p>
      <w:r>
        <w:t>Die Beschwerdekammer hält fest dass:</w:t>
      </w:r>
    </w:p>
    <w:p>
      <w:r>
        <w:t>- A. mit Schreiben vom 5. September 2018 bei der Bundesanwaltschaft (nach- folgend „BA“) eine Strafanzeige wegen „Verbrechen in den Bereichen Völ- kerstrafrecht (insbesondere Verstoss gegen das Folterverbot, Verstösse ge- gen die Menschenrechte), kriminelle Organisation, Geldwäscherei, internati- onale Korruption, etc.“ einreichte (Verfahrensakten BA Ordner Lasche 3);</w:t>
      </w:r>
    </w:p>
    <w:p>
      <w:r>
        <w:t>- A. als Korrespondenzadresse „RA B., Z.-Strasse, Deutschland“ angab, da er selbst ohne festen Wohnsitz sei;</w:t>
      </w:r>
    </w:p>
    <w:p>
      <w:r>
        <w:t>- die BA mit Datum vom 1. November 2018 die Nichtanhandnahme der Straf- anzeige verfügte (Verfahrensakten BA Ordner Lasche 4 = act. 2);</w:t>
      </w:r>
    </w:p>
    <w:p>
      <w:r>
        <w:t>- A. dagegen mit Beschwerde vom 22. November 2018 an die Beschwerde- kammer des Bundesstrafgerichts gelangte und sinngemäss die Aufhebung der Nichtanhandnahmeverfügung vom 1. November 2018 beantragt (act. 1).</w:t>
      </w:r>
    </w:p>
    <w:p>
      <w:r>
        <w:t>Die Beschwerdekammer zieht in Erwägung, dass:</w:t>
      </w:r>
    </w:p>
    <w:p>
      <w:r>
        <w:t>- gegen eine Nichtanhandnahmeverfügung der Bundesanwaltschaft die Be- schwerde nach den Vorschriften der Art. 393 ff. StPO an die Beschwerde- kammer des Bundesstrafgerichts zulässig ist (Art. 310 Abs. 2 i.V.m. Art. 322 Abs. 2 StPO und Art. 37 Abs. 1 StBOG);</w:t>
      </w:r>
    </w:p>
    <w:p>
      <w:r>
        <w:t>- die Beschwerde innert 10 Tagen schriftlich und begründet bei der Beschwer- deinstanz einzureichen ist (Art. 396 Abs. 1 StPO);</w:t>
      </w:r>
    </w:p>
    <w:p>
      <w:r>
        <w:t>- die Beschwerdefrist bei Beschlüssen oder Verfügungen mit deren Zustellung an den Adressaten zu laufen beginnt (Art. 384 lit. b StPO);</w:t>
      </w:r>
    </w:p>
    <w:p>
      <w:r>
        <w:t>- die angefochtene Verfügung am 5. November 2018 an die vom Beschwer- deführer genannte Korrespondenzadresse zugestellt worden ist (vgl. Sen- dungsverfolgung vom 29. November 2018, Verfahrensakten BA Ordner La- sche 3 = act. 3);</w:t>
      </w:r>
    </w:p>
    <w:p>
      <w:r>
        <w:t>- die zehntägige Frist zur Beschwerdeerhebung mithin am 15. November 2018 abgelaufen ist;</w:t>
      </w:r>
    </w:p>
    <w:p>
      <w:r>
        <w:t>- 3 -</w:t>
      </w:r>
    </w:p>
    <w:p>
      <w:r>
        <w:t>- die Frist gewahrt ist, wenn die Beschwerde spätestens am letzten Tag der Frist der Beschwerdeinstanz, der Schweizerischen Post, einer schweizeri- schen diplomatischen oder konsularischen Vertretung oder im Falle von in- haftierten Personen der Anstaltsleitung übergeben worden ist (Art. 91 Abs. 2 StPO);</w:t>
      </w:r>
    </w:p>
    <w:p>
      <w:r>
        <w:t>- die Zustellung der Beschwerde vorliegend von Thailand an die Beschwerde- kammer erfolgte; diese der Schweizerischen Post am 28. November 2018 und somit nach Ablauf der zehntägigen Beschwerdefrist übergeben worden ist (act. 4);</w:t>
      </w:r>
    </w:p>
    <w:p>
      <w:r>
        <w:t>- die Beschwerde daher verspätet eingereicht worden ist, weshalb darauf nicht einzutreten ist;</w:t>
      </w:r>
    </w:p>
    <w:p>
      <w:r>
        <w:t>- aus diesem Grund auf die Durchführung eines Schriftenwechsels verzichtet worden ist (Art. 390 Abs. 2 StPO e contrario);</w:t>
      </w:r>
    </w:p>
    <w:p>
      <w:r>
        <w:t>- bei diesem Ausgang der Beschwerdeführer die Gerichtskosten zu tragen hat (Art. 428 Abs. 1 StPO), wobei die Gerichtsgebühr auf Fr. 200.-- festzusetzen ist (Art. 73 StBOG i.V.m. Art. 5 und 8 Abs. 1 BStKR).</w:t>
      </w:r>
    </w:p>
    <w:p>
      <w:r>
        <w:t>- 4 -</w:t>
      </w:r>
    </w:p>
    <w:p>
      <w:r>
        <w:t>Demnach erkennt die Beschwerdekammer:</w:t>
      </w:r>
    </w:p>
    <w:p>
      <w:r>
        <w:t>1. Auf die Beschwerde wird nicht eingetreten.</w:t>
      </w:r>
    </w:p>
    <w:p>
      <w:r>
        <w:t>2. Die Gerichtsgebühr von Fr. 200.-- wird dem Beschwerdeführer auferlegt.</w:t>
      </w:r>
    </w:p>
    <w:p>
      <w:r>
        <w:t>Bellinzona, 4. Dezember 2018</w:t>
      </w:r>
    </w:p>
    <w:p>
      <w:r>
        <w:t>Im Namen der Beschwerdekammer des Bundesstrafgerichts</w:t>
      </w:r>
    </w:p>
    <w:p>
      <w:r>
        <w:t>Der Präsident: Die Gerichtsschreiberin:</w:t>
      </w:r>
    </w:p>
    <w:p>
      <w:r>
        <w:t>Zustellung an</w:t>
      </w:r>
    </w:p>
    <w:p>
      <w:r>
        <w:t>- A. - Bundesanwaltschaft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