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BB.2018.175 vom 9. Oktober 2018</w:t>
      </w:r>
    </w:p>
    <w:p>
      <w:r>
        <w:t>Bundesstrafgericht, 2018-10-09, DE</w:t>
      </w:r>
    </w:p>
    <w:p>
      <w:r>
        <w:rPr>
          <w:b/>
        </w:rPr>
        <w:t xml:space="preserve">Quelle: </w:t>
      </w:r>
      <w:r>
        <w:t>https://mcp.opencaselaw.ch/entscheid/bstger_BB.2018.175</w:t>
      </w:r>
    </w:p>
    <w:p>
      <w:r>
        <w:t>FR: TPF BB.2018.175 du 9 octobre 2018</w:t>
      </w:r>
    </w:p>
    <w:p>
      <w:r>
        <w:t>IT: TPF BB.2018.175 del 9 ottobre 2018</w:t>
      </w:r>
    </w:p>
    <w:p>
      <w:pPr>
        <w:pStyle w:val="Heading2"/>
      </w:pPr>
      <w:r>
        <w:t>Regeste</w:t>
      </w:r>
    </w:p>
    <w:p>
      <w:r>
        <w:t>Ausstand des gesamten Berufungsgerichts (Art. 59 Abs. 1 lit. d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