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BB.2018.172 vom 23. Januar 2019</w:t>
      </w:r>
    </w:p>
    <w:p>
      <w:r>
        <w:t>Bundesstrafgericht, 2019-01-23, FR</w:t>
      </w:r>
    </w:p>
    <w:p>
      <w:r>
        <w:rPr>
          <w:b/>
        </w:rPr>
        <w:t xml:space="preserve">Quelle: </w:t>
      </w:r>
      <w:r>
        <w:t>https://mcp.opencaselaw.ch/entscheid/bstger_BB.2018.172</w:t>
      </w:r>
    </w:p>
    <w:p>
      <w:r>
        <w:t>FR: TPF BB.2018.172 du 23 janvier 2019</w:t>
      </w:r>
    </w:p>
    <w:p>
      <w:r>
        <w:t>IT: TPF BB.2018.172 del 23 gennaio 2019</w:t>
      </w:r>
    </w:p>
    <w:p>
      <w:pPr>
        <w:pStyle w:val="Heading2"/>
      </w:pPr>
      <w:r>
        <w:t>Regeste</w:t>
      </w:r>
    </w:p>
    <w:p>
      <w:r>
        <w:t>Séquestre aux fins de confiscation (art. 263 al. 1 let. d CPP); prononcé d'une créance compensatrice (art. 71 CP).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p. 1296 i. f.; GUIDON, Niggli/Heer/Wi- prächtiger [édit.], Basler Kommentar, Schweizerische Strafprozessordnung [ci-après: Basler Kommentar], 2e éd. 2014, n° 15 ad art. 393 CPP; KELLER, Donatsch/Hansjakob/Lieber [édit.], Kommentar zur Schweizerischen Straf- prozessordnung [StPO], 2e éd. 2014, n° 39 ad art. 393, SCHMID/JOSITSCH, Handbuch des schweizerischen Strafprozessrechts, 3e éd. 2017, n° 1512).</w:t>
      </w:r>
    </w:p>
    <w:p>
      <w:r>
        <w:rPr>
          <w:b/>
        </w:rPr>
        <w:t>E. 1.2</w:t>
      </w:r>
    </w:p>
    <w:p>
      <w:r>
        <w:t>Les décisions du MPC peuvent faire l'objet d'un recours devant la Cour des plaintes du Tribunal pénal fédéral (art. 393 al. 1 let. a CPP et 37 al. 1 de la loi fédérale du 19 mars 2010 sur l'organisation des autorités pénales de la Confédération [LOAP; RS 173.71] en lien avec l’art. 19 al. 1 du règlement du 31 août 2010 sur l’organisation du Tribunal pénal fédéral [ROTPF; RS 173.731.161]).</w:t>
      </w:r>
    </w:p>
    <w:p>
      <w:r>
        <w:rPr>
          <w:b/>
        </w:rPr>
        <w:t>E. 1.3</w:t>
      </w:r>
    </w:p>
    <w:p>
      <w:r>
        <w:t>Toute partie qui a un intérêt juridiquement protégé à l’annulation ou à la mo- dification d’une décision a qualité pour recourir contre celle-ci (art. 382 al. 1 CPP). Le recourant doit avoir subi une lésion, soit un préjudice causé par l'acte qu'il attaque et doit avoir un intérêt à l'élimination de ce préjudice. Les tiers directement touchés dans leurs droits par des actes de procédure se voient reconnaître la qualité de partie à la procédure dans la mesure néces- saire à la sauvegarde de leurs intérêts (art. 105 al. 1 let. f et al. 2 CPP). En l'occurrence, directement touchés par la créance compensatrice prononcée à leur encontre, les recourants sont habilités à recourir.</w:t>
      </w:r>
    </w:p>
    <w:p>
      <w:r>
        <w:rPr>
          <w:b/>
        </w:rPr>
        <w:t>E. 1.4</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w:t>
      </w:r>
    </w:p>
    <w:p>
      <w:r>
        <w:t>- 6 -</w:t>
      </w:r>
    </w:p>
    <w:p>
      <w:r>
        <w:t>le déni de justice et le retard injustifié (let. a), la constatation incomplète ou erronée des faits (let. b) ou l’inopportunité (let. c). In casu, interjeté le 1er oc- tobre 2018, contre une décision reçue le 21 septembre 2018 (act. 7), le re- cours a été déposé en temps utile (art. 90 al. 2 CPP).</w:t>
      </w:r>
    </w:p>
    <w:p>
      <w:r>
        <w:rPr>
          <w:b/>
        </w:rPr>
        <w:t>E. 1.5</w:t>
      </w:r>
    </w:p>
    <w:p>
      <w:r>
        <w:t>Le recours est ainsi recevable en la forme.</w:t>
      </w:r>
    </w:p>
    <w:p>
      <w:r>
        <w:rPr>
          <w:b/>
        </w:rPr>
        <w:t>E. 2</w:t>
      </w:r>
    </w:p>
    <w:p>
      <w:r>
        <w:t>Les recourants font grief à l’intimé de ne pas s’être conformé à l’arrêt de renvoi du Tribunal fédéral 6B_1269/2016 du 21 août 2017 (v. supra let. H). Le MPC aurait considéré à tort que ledit arrêt remet en question le prononcé d’une créance compensatrice uniquement pour la quote-part des USD 3 mios qui excède le montant des valeurs séquestrées auprès de la banque H.. Or, selon eux, c’est au contraire le principe même du prononcé d’une créance compensatrice à leur encontre en tant qu’héritiers de feu G., qui aurait été remis en cause par le Tribunal fédéral (act. 1 p. 6).</w:t>
      </w:r>
    </w:p>
    <w:p>
      <w:r>
        <w:rPr>
          <w:b/>
        </w:rPr>
        <w:t>E. 2.1</w:t>
      </w:r>
    </w:p>
    <w:p>
      <w:r>
        <w:t>Selon la jurisprudence, l'autorité à laquelle la cause est renvoyée par le Tri- bunal fédéral est tenue de fonder sa nouvelle décision sur les considérants de droit de l'arrêt de renvoi. Elle est liée par ce qui a déjà été définitivement tranché par le Tribunal fédéral et par les constatations de fait qui n'ont pas été attaquées devant lui ou l'ont été sans succès (ATF 143 IV 214 con- sid. 5.2.1 p. 220; 131 III 91 consid. 5.2 p. 94). La motivation de l'arrêt de renvoi fixe tant le cadre du nouvel état de fait que celui de la nouvelle moti- vation juridique (ATF 135 III 334 consid. 2 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w:t>
      </w:r>
    </w:p>
    <w:p>
      <w:r>
        <w:rPr>
          <w:b/>
        </w:rPr>
        <w:t>E. 2.2</w:t>
      </w:r>
    </w:p>
    <w:p>
      <w:r>
        <w:t>A la lecture de l’arrêt 6B_1269/2016 précité, force est de constater que, con- trairement à ce que prétendent les recourants, le Tribunal fédéral admet, dans son principe, le prononcé d’une créance compensatrice à leur en- contre. Ce n’est que pour le montant qui excède celui des valeurs séques- trées en Suisse que la Haute Cour exige un complément d’instruction afin d’établir que les sommes correspondantes sont bien entrées dans la masse successorale.</w:t>
      </w:r>
    </w:p>
    <w:p>
      <w:r>
        <w:t>Cela ressort tout d’abord explicitement du considérant 5.3 de l’arrêt con- cerné. Celui-ci précise en effet: « Il n’est ainsi pas possible, en l’état, de vé- rifier si les recourants pouvaient être condamnés au paiement d’une créance compensatrice excédant le montant de 1'999'994 USD séquestré auprès de la [banque H.]. L’arrêt attaqué doit donc être annulé sur ce point […] ». Il faut</w:t>
      </w:r>
    </w:p>
    <w:p>
      <w:r>
        <w:t>- 7 -</w:t>
      </w:r>
    </w:p>
    <w:p>
      <w:r>
        <w:t>en conclure a contrario que la créance compensatrice à concurrence du montant de USD 1'999'994.-- séquestré n’est pas remise en question par le Tribunal fédéral.</w:t>
      </w:r>
    </w:p>
    <w:p>
      <w:r>
        <w:t>Du reste, dans leur recours devant le Tribunal fédéral, les recourants n’ont pas attaqué le prononcé de la créance compensatrice en tant que tel; seul le montant dépassant celui des valeurs séquestrées en Suisse était contesté (act. 3.1 p. 6). Le Tribunal fédéral a ainsi retenu au considérant 5.1 de l’arrêt concerné: « Les recourants font grief à l’autorité précédente de les avoir con- damnés au paiement d’une créance compensatrice supérieure au montant séquestré auprès de la [banque H.], dès lors qu’il ne serait pas établi que les montants qui auraient pu faire l’objet d’une confiscation leur seraient parve- nus à concurrence de ladite créance ». Partant de là, le Tribunal fédéral, jugeant le grief fondé « sur ce point » (v. consid. 5.3 précité), a opéré une scission, au sein de la créance compensatrice, entre une première partie non contestée dont le montant s’élève aux avoirs qui ont été séquestrés en Suisse et une seconde partie qui correspond à la différence entre les fonds séquestrés et USD 3 mios. Or, vu la conclusion du considérant 5.3 de l’arrêt 6B_1269/2016 enjoignant à cette Cour de compléter « l’état de fait concer- nant le sort des montants transférés à l’étranger par [G.] le 20 octobre 2009, en particulier leur éventuelle intégration dans le patrimoine des recourants », il ne fait aucun doute que seule la seconde partie de la créance compensa- trice fait l’objet de l’annulation et du renvoi prononcé par le Tribunal fédéral.</w:t>
      </w:r>
    </w:p>
    <w:p>
      <w:r>
        <w:rPr>
          <w:b/>
        </w:rPr>
        <w:t>E. 2.3.1</w:t>
      </w:r>
    </w:p>
    <w:p>
      <w:r>
        <w:t>En l’occurrence, le MPC a renoncé à apporter la preuve de l’intégration des montants transférés à l’étranger en date du 20 octobre 2009 dans la masse successorale des recourants. Dès lors, contrairement à ce que ceux-ci invo- quent (act. 1 p. 6), il importe peu de savoir ce qu’il est advenu de ces fonds. En effet, dans la décision ici entreprise, le MPC a uniquement pris en consi- dération les montants figurant sur les relations bancaires de feu G. auprès de la banque H. soit, d’une part, USD 2'092'963.-- disponibles sur la relation bancaire n° 1 (séquestre du 20 janvier 2011, v. supra let. B) et, d’autre part, le solde de USD 360'691.-- découvert après l’arrêt du Tribunal fédéral sur la relation bancaire n° 2 (séquestre du 18 septembre 2017, v. supra let. J). Ainsi l’autorité intimée s’est-elle limitée à prononcer une créance compensatrice équivalant au montant des seules valeurs séquestrées aujourd’hui en Suisse en tant qu’elles correspondent aux sommes dont les recourants ont hérité de leur père. A ce titre, la décision entreprise s’inscrit tout à fait dans le cadre de l’arrêt de renvoi du Tribunal fédéral.</w:t>
      </w:r>
    </w:p>
    <w:p>
      <w:r>
        <w:t>- 8 -</w:t>
      </w:r>
    </w:p>
    <w:p>
      <w:r>
        <w:rPr>
          <w:b/>
        </w:rPr>
        <w:t>E. 2.3.2</w:t>
      </w:r>
    </w:p>
    <w:p>
      <w:r>
        <w:t>D’ailleurs, contrairement à ce que suggèrent les recourants (act. 1 p. 6-7), le MPC n’a pas prononcé implicitement une créance compensatrice de USD 3 mios pour la réduire ensuite en application des art. 71 al. 2 et 70 al. 2 CP par analogie. L’intimé a simplement considéré, à juste titre, d’une part, que le caractère illicite des paiements d’USD 1 mio le 30 juillet 2002 et d’USD 2 mios le 3 octobre 2003 avait été définitivement entériné dans le considérant 3 de l’arrêt concerné du Tribunal fédéral; d’autre part, le MPC a estimé qu’une créance compensatrice serait difficilement recouvrable au pays Z., raison pour laquelle il a renoncé, par économie de procédure, à rechercher la preuve de l’intégration au patrimoine des recourants de la dif- férence entre USD 3 mios et le montant des valeurs séquestrées. C’est ce dernier motif qui l’a amené à limiter (et non à « réduire ») le prononcé de la créance compensatrice au montant des valeurs placées sous séquestre. Cette façon de procéder ne prête pas le flanc à la critique (1.1 p. 24 et 29).</w:t>
      </w:r>
    </w:p>
    <w:p>
      <w:r>
        <w:rPr>
          <w:b/>
        </w:rPr>
        <w:t>E. 2.3.3</w:t>
      </w:r>
    </w:p>
    <w:p>
      <w:r>
        <w:t>Au demeurant, l’argument des recourants selon lequel il est impensable que le sort de la créance compensatrice trouve deux issues différentes selon le fait que l’autorité disposerait ou non de fonds séquestrés pour la garantir (act. 1 p. 6) est dénué de pertinence. En effet, la prise en compte des avoirs saisis en Suisse ne sert qu’à déterminer, conformément à l’exigence posée par le Tribunal fédéral dans l’arrêt précité, ce que les recourants ont – de manière certaine – obtenu de feu G. à titre successoral. A cet égard, il n’est guère contestable que ces derniers ont hérité des valeurs patrimoniales dé- posées sur les comptes n° 1 et n° 2 séquestrés; ils ne font du reste pas valoir le contraire.</w:t>
      </w:r>
    </w:p>
    <w:p>
      <w:r>
        <w:rPr>
          <w:b/>
        </w:rPr>
        <w:t>E. 2.4</w:t>
      </w:r>
    </w:p>
    <w:p>
      <w:r>
        <w:t>Au vu de ce qui précède, le grief doit être écarté.</w:t>
      </w:r>
    </w:p>
    <w:p>
      <w:r>
        <w:rPr>
          <w:b/>
        </w:rPr>
        <w:t>E. 3</w:t>
      </w:r>
    </w:p>
    <w:p>
      <w:r>
        <w:t>octobre 2003 revêtaient un caractère corruptif et illicite (arrêt du Tribunal fédéral 6B_1269/2016 précité consid. 3.3).</w:t>
      </w:r>
    </w:p>
    <w:p>
      <w:r>
        <w:rPr>
          <w:b/>
        </w:rPr>
        <w:t>E. 4</w:t>
      </w:r>
    </w:p>
    <w:p>
      <w:r>
        <w:t>Il suit de ce qui précède que le recours, mal fondé, doit être rejeté.</w:t>
      </w:r>
    </w:p>
    <w:p>
      <w:r>
        <w:rPr>
          <w:b/>
        </w:rPr>
        <w:t>E. 5</w:t>
      </w:r>
    </w:p>
    <w:p>
      <w:r>
        <w:t>En tant que parties qui succombent, les recourants se voient mettre solidai- rement à charge les frais de la cause (art. 428 al. 1 CPP). Ceux-ci sont fixés à CHF 2'000.--, en application des art. 5 et 8 al. 1 du règlement du Tribunal pénal fédéral du 31 août 2010 sur les frais, émoluments, dépens et indemni- 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