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BB.2018.169 vom 12. Dezember 2019</w:t>
      </w:r>
    </w:p>
    <w:p>
      <w:r>
        <w:t>Bundesstrafgericht, 2019-12-12, DE</w:t>
      </w:r>
    </w:p>
    <w:p>
      <w:r>
        <w:rPr>
          <w:b/>
        </w:rPr>
        <w:t xml:space="preserve">Quelle: </w:t>
      </w:r>
      <w:r>
        <w:t>https://mcp.opencaselaw.ch/entscheid/bstger_BB.2018.169</w:t>
      </w:r>
    </w:p>
    <w:p>
      <w:r>
        <w:t>FR: TPF BB.2018.169 du 12 décembre 2019</w:t>
      </w:r>
    </w:p>
    <w:p>
      <w:r>
        <w:t>IT: TPF BB.2018.169 del 12 dicembre 2019</w:t>
      </w:r>
    </w:p>
    <w:p>
      <w:pPr>
        <w:pStyle w:val="Heading2"/>
      </w:pPr>
      <w:r>
        <w:t>Regeste</w:t>
      </w:r>
    </w:p>
    <w:p>
      <w:r>
        <w:t>Einstellung des Verfahrens (Art. 322 Abs. 2 StPO). Rückzug (Art. 386 Abs. 2 StPO).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Aufl. 2014, Art. 386 StPO N. 4);</w:t>
      </w:r>
    </w:p>
    <w:p>
      <w:r>
        <w:t>- bei diesem Ausgang des Verfahrens der Beschwerdeführer die Gerichtskos- ten zu tragen hat (vgl. Art. 428 Abs. 1 StPO);</w:t>
      </w:r>
    </w:p>
    <w:p>
      <w:r>
        <w:t>- die Gerichtsgebühr angesichts des Verfahrensstandes und der ergangenen prozessleitenden Beschlüsse bezüglich der Sistierung bzw. deren Verlänge- rung auf Fr. 1’000.-- festzusetzen ist (vgl. Art. 73 StBOG i.V.m. Art. 5 und Art. 8 Abs. 1 des Reglements des Bundesstrafgerichts vom 31. August 2010 über die Kosten, Gebühren und Entschädigungen in Bundesstrafverfahren [BStKR; SR 173.713.162]), unter Anrechnung des entsprechenden Betrages am geleisteten Kostenvorschuss von Fr. 2'000.--; die Bundesstrafgerichts- kasse anzuweisen ist, dem Beschwerdeführer Fr. 1'000.- zurückzuerstatten.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