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BB.2018.165 vom 11. Oktober 2018</w:t>
      </w:r>
    </w:p>
    <w:p>
      <w:r>
        <w:t>Bundesstrafgericht, 2018-10-11, FR</w:t>
      </w:r>
    </w:p>
    <w:p>
      <w:r>
        <w:rPr>
          <w:b/>
        </w:rPr>
        <w:t xml:space="preserve">Quelle: </w:t>
      </w:r>
      <w:r>
        <w:t>https://mcp.opencaselaw.ch/entscheid/bstger_BB.2018.165</w:t>
      </w:r>
    </w:p>
    <w:p>
      <w:r>
        <w:t>FR: TPF BB.2018.165 du 11 octobre 2018</w:t>
      </w:r>
    </w:p>
    <w:p>
      <w:r>
        <w:t>IT: TPF BB.2018.165 del 11 ottobre 2018</w:t>
      </w:r>
    </w:p>
    <w:p>
      <w:pPr>
        <w:pStyle w:val="Heading2"/>
      </w:pPr>
      <w:r>
        <w:t>Regeste</w:t>
      </w:r>
    </w:p>
    <w:p>
      <w:r>
        <w:t>Récusation du Ministère public de la Confédération (art. 59 al. 1 let. b en lien avec l'art. 56 CPP).</w:t>
      </w:r>
    </w:p>
    <w:p>
      <w:pPr>
        <w:pStyle w:val="Heading2"/>
      </w:pPr>
      <w:r>
        <w:t>Erwägungen</w:t>
      </w:r>
    </w:p>
    <w:p>
      <w:r>
        <w:rPr>
          <w:b/>
        </w:rPr>
        <w:t>E. 1.1</w:t>
      </w:r>
    </w:p>
    <w:p>
      <w:r>
        <w:t>Aux termes de l'art. 59 al. 1 CPP, lorsqu'un motif de récusation au sens de l'art. 56 let. a ou f CPP est invoqué ou qu'une personne exerçant une fonction au sein d'une autorité pénale s'oppose à la demande de récusation d'une</w:t>
      </w:r>
    </w:p>
    <w:p>
      <w:r>
        <w:t>- 3 -</w:t>
      </w:r>
    </w:p>
    <w:p>
      <w:r>
        <w:t>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 l'organisation des autorités pénales de la Confédération [LOAP; RS 173.71]) – lorsque le ministère public est concerné.</w:t>
      </w:r>
    </w:p>
    <w:p>
      <w:r>
        <w:rPr>
          <w:b/>
        </w:rPr>
        <w:t>E. 1.2</w:t>
      </w:r>
    </w:p>
    <w:p>
      <w:r>
        <w:t>Sur ce vu, il incombe donc à l'autorité de céans de trancher la question de la récusation, le membre du MPC visé par la requête n'ayant qu'à prendre position sur cette dernière (art. 58 al. 2 CPP) et à transmettre l'ensemble à la Cour des plaintes du Tribunal pénal fédéral pour décision, cette dernière tranchant définitivement le litige (art. 59 al. 1 CPP).</w:t>
      </w:r>
    </w:p>
    <w:p>
      <w:r>
        <w:rPr>
          <w:b/>
        </w:rPr>
        <w:t>E. 1.3</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(arrêt du Tribunal fédéral 1B_48/2011 du 11 novembre 2011 consid. 3.1; ATF 134 I 20 consid. 4.3.1; 132 II 485 consid. 4.3; 130 III 66 consid. 4.3 et les arrêts cités).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w:t>
      </w:r>
    </w:p>
    <w:p>
      <w:r>
        <w:rPr>
          <w:b/>
        </w:rPr>
        <w:t>E. 1.4</w:t>
      </w:r>
    </w:p>
    <w:p>
      <w:r>
        <w:t>Le requérant allègue, sans être contredit par les pièces figurant au dossier, avoir eu connaissance le 31 août 2018 des derniers éléments qui – considérés dans leur ensemble – fondent la demande de récusation. Dès lors que celle-ci a été transmise le même jour au MPC, elle l'a bien été sans délai, de sorte qu'il y a lieu d'entrer en matière.</w:t>
      </w:r>
    </w:p>
    <w:p>
      <w:r>
        <w:rPr>
          <w:b/>
        </w:rPr>
        <w:t>E. 2.1</w:t>
      </w:r>
    </w:p>
    <w:p>
      <w:r>
        <w:t>Le recourant invoque l'art. 56 al. let. f CPP. B. ne lui aurait, à tort, accordé qu'un accès partiel au dossier, n'aurait pas respecté le délai de trois jours institué par l'art. 228 al. 2 CPP, dans lequel le ministère public doit transmettre au TMC une demande de remise en liberté lorsqu'il n'y fait pas</w:t>
      </w:r>
    </w:p>
    <w:p>
      <w:r>
        <w:t>- 4 -</w:t>
      </w:r>
    </w:p>
    <w:p>
      <w:r>
        <w:t>droit (art. 228 al. 2 CPP), et aurait adopté à son encontre une attitude contraire aux règles de la bonne foi. Ces éléments seraient de nature à rendre ledit procureur suspect de prévention à son égard.</w:t>
      </w:r>
    </w:p>
    <w:p>
      <w:r>
        <w:rPr>
          <w:b/>
        </w:rPr>
        <w:t>E. 2.2</w:t>
      </w:r>
    </w:p>
    <w:p>
      <w:r>
        <w:t>L'art. 56 CPP (motifs de récusation) dispose que toute personne exerçant une fonction au sein d'une autorité pénale est tenue de se récuser: lorsqu'elle a un intérêt personnel dans l'affaire (let. a), lorsqu'elle a agi à un autre titre dans la même cause, en particulier comme membre d'une autorité, conseil juridique d'une partie, expert ou témoin (let. b), lorsqu'elle est mariée, vit sous le régime du partenariat enregistré ou mène de fait une vie de couple avec une partie, avec son conseil juridique ou avec une personne qui a agi dans la même cause en tant que membre de l'autorité inférieure (let. c), lorsqu'elle est parente ou alliée avec une partie, en ligne directe ou jusqu'au troisième degré en ligne collatérale (let. d), lorsqu'elle est parente ou alliée en ligne directe ou jusqu'au deuxième degré en ligne collatérale avec le conseil juridique d'une partie ou d'une personne qui a agi dans la même cause en tant que membre de l'autorité inférieure (let. e), lorsque d'autres motifs, notamment un rapport d'amitié étroit ou d'inimitié avec une partie ou son conseil juridique, sont de nature à la rendre suspecte de prévention (let. f).</w:t>
      </w:r>
    </w:p>
    <w:p>
      <w:r>
        <w:rPr>
          <w:b/>
        </w:rPr>
        <w:t>E. 2.3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138 IV 142 consid. 2.3, ATF 116 Ia 14 consid. 5a p. 19, ATF 116 Ia 135 consid. 3a p. 138; ATF 114 Ia 153 consid. 3b/bb p. 158; ATF 113 Ia 407 consid. 2b p. 409/410; ATF 111 Ia 259 consid. 3b/aa in fine p. 264).</w:t>
      </w:r>
    </w:p>
    <w:p>
      <w:r>
        <w:rPr>
          <w:b/>
        </w:rPr>
        <w:t>E. 3.1.1</w:t>
      </w:r>
    </w:p>
    <w:p>
      <w:r>
        <w:t>Le MPC affirme avoir reçu le lundi 13 août 2018 une demande de consultation du dossier que lui avait adressée le requérant le 10 août précédent et accordé le surlendemain à l'intéressé l'accès à toutes les pièces du dossier – à l'exception de celles concernant les mesures de surveillance mises en place et les mises en circulation concrètes de monnaie. La première de ces restrictions aurait été justifiée par le principe, consacré à l'art. 279 CPP, selon lequel les mesures de surveillance sont communiquées au plus tard lors de la clôture de la procédure préliminaire, et la seconde par la nécessité que le requérant fût entendu de manière détaillée par les</w:t>
      </w:r>
    </w:p>
    <w:p>
      <w:r>
        <w:t>- 5 -</w:t>
      </w:r>
    </w:p>
    <w:p>
      <w:r>
        <w:t>enquêteurs de la Police judiciaire fédérale, qui précisément venaient d'établir un rapport sur lesdites mise en circulation. Puis le requérant, par courrier du 16 août 2018 reçu le 20 août suivant par le MPC, aurait sollicité l'accès à l'ensemble du dossier. Dite Autorité aurait fait droit à cette demande le 23 août 2018, sous réserve de ce qui précède, étant précisé que les procès-verbaux d'auditions de deux témoins (auxquelles aurait assisté le défenseur du requérant), respectivement les 20 et 22 août 2018, par la PJF n'avaient alors pas encore été transmis au MPC et, partant, ne figuraient pas au dossier.</w:t>
      </w:r>
    </w:p>
    <w:p>
      <w:r>
        <w:t>Dans ces conditions, le MPC n'aurait aucunement violé le droit du requérant à accéder au dossier.</w:t>
      </w:r>
    </w:p>
    <w:p>
      <w:r>
        <w:rPr>
          <w:b/>
        </w:rPr>
        <w:t>E. 3.1.2</w:t>
      </w:r>
    </w:p>
    <w:p>
      <w:r>
        <w:t>Aux termes de l'art. 279 al. 1 CPP, au plus tard lors de la clôture de la procédure préliminaire, le ministère public communique au prévenu ainsi qu'au tiers qui ont fait l'objet d'une surveillance au sens de l'art. 270, let. b, les motifs, le mode et la durée de la surveillance. Partant, aussi longtemps que la procédure préliminaire est en cours – ce qui est actuellement le cas – , l'existence même de mesures de surveillance n'a pas à être dévoilée au prévenu; à plus forte raison le ministère public n'est-il pas tenu de donner accès à celui-ci à des documents relevant de ce domaine. Le MPC pouvait donc légitimement refuser au requérant la consultation de pièces relatives à des rapports concernant des mesures de surveillance.</w:t>
      </w:r>
    </w:p>
    <w:p>
      <w:r>
        <w:t>S'agissant des mises en circulation concrètes de fausse monnaie, B. a requis de la PJF un rapport, puis a ordonné l'audition du requérant par cette autorité. Une telle manière de procéder est conforme à l'art. 312 CPP (mandats du ministère public à la police). En outre, force est de constater avec ledit procureur que la prise de connaissance, par le requérant, des éléments figurant dans ce document avant que l'intéressé ne fut entendu par la PJF aurait été propre à compromettre la recherche de la vérité.</w:t>
      </w:r>
    </w:p>
    <w:p>
      <w:r>
        <w:t>Enfin, B. ne pouvait évidemment pas transmettre au requérant les procès- verbaux des deux témoins entendus respectivement les 20 et 22 août 2018 par la PJF, si lui-même, au moment déterminant, ne les avait pas encore reçus de ladite Autorité.</w:t>
      </w:r>
    </w:p>
    <w:p>
      <w:r>
        <w:t>Le procureur fédéral en cause n'a donc commis aucune erreur, au sens de la jurisprudence précitée (cf. supra consid. 2.3), s'agissant de l'accès du requérant au dossier.</w:t>
      </w:r>
    </w:p>
    <w:p>
      <w:r>
        <w:rPr>
          <w:b/>
        </w:rPr>
        <w:t>E. 3.2</w:t>
      </w:r>
    </w:p>
    <w:p>
      <w:r>
        <w:t>L'argumentation du requérant tirée d'une violation de l'art. 228 al. 2 CPP est</w:t>
      </w:r>
    </w:p>
    <w:p>
      <w:r>
        <w:t>- 6 -</w:t>
      </w:r>
    </w:p>
    <w:p>
      <w:r>
        <w:t>mal fondée. En effet, quoi qu'en dise l'intéressé, la jurisprudence a précisé clairement que c'est dans un délai de trois jours ouvrables – et non calendaires – que le ministère public doit, conformément à cette disposition, transmettre au tribunal des mesures de contrainte la demande de libération immédiate du prévenu, s'il n'y donne pas une suite favorable (arrêt du Tribunal fédéral 1B_304/2013 du 27 septembre 2013, consid. 2.4 et 2.5). En l'occurrence, B. a reçu la demande de libération du requérant le vendredi 24 août 2018 et l'a transmise au TMC le mercredi 29 août suivant, de sorte que le délai de l'art. 228 al. 2 CPP a été respecté.</w:t>
      </w:r>
    </w:p>
    <w:p>
      <w:r>
        <w:rPr>
          <w:b/>
        </w:rPr>
        <w:t>E. 3.3</w:t>
      </w:r>
    </w:p>
    <w:p>
      <w:r>
        <w:t>Enfin, le comportement contraire aux règles de la bonne foi qu'aurait adopté B. à l'encontre du requérant – qui si l'on comprend bien consisterait en des explications contradictoires concernant les restrictions précitées à l'accès du dossier – ne saurait, au vu de la jurisprudence exposée plus haut (consid. 2.3), créer à lui seul une apparence objective de prévention, même s'il était avéré. Il n'y a donc pas lieu de se pencher plus avant sur cette question.</w:t>
      </w:r>
    </w:p>
    <w:p>
      <w:r>
        <w:rPr>
          <w:b/>
        </w:rPr>
        <w:t>E. 4</w:t>
      </w:r>
    </w:p>
    <w:p>
      <w:r>
        <w:t>Au vu de ce qui précède, la requête est mal fondée dans la mesure où elle est recevable. A noter que le requérant, en tant qu'il semble se plaindre de faits survenus après le 29 août 2018 (cf. act. 7, p. 3, nos 11 ss), formule des critiques qui sortent temporellement de l'objet du litige, de sorte qu'il n'y a pas lieu d'entrer en matière sur son argumentation.</w:t>
      </w:r>
    </w:p>
    <w:p>
      <w:r>
        <w:rPr>
          <w:b/>
        </w:rPr>
        <w:t>E. 5</w:t>
      </w:r>
    </w:p>
    <w:p>
      <w:r>
        <w:t>Vu le sort de la cause, le requérant en supportera les frais (art. 59 al. 4 CPP), lesquels prendront en l'espèce la forme d'un émolument, fixé à CHF 2'000.--, en application des art. 5 et 8 du règlement du Tribunal pénal fédéral du 31 août 2010 sur les frais, émoluments, dépens et 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