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 vom 16. August 2018</w:t>
      </w:r>
    </w:p>
    <w:p>
      <w:r>
        <w:t>Bundesstrafgericht, 2018-08-16, FR</w:t>
      </w:r>
    </w:p>
    <w:p>
      <w:r>
        <w:rPr>
          <w:b/>
        </w:rPr>
        <w:t xml:space="preserve">Quelle: </w:t>
      </w:r>
      <w:r>
        <w:t>https://mcp.opencaselaw.ch/entscheid/bstger_BB.2018.16</w:t>
      </w:r>
    </w:p>
    <w:p>
      <w:r>
        <w:t>FR: TPF BB.2018.16 du 16 août 2018</w:t>
      </w:r>
    </w:p>
    <w:p>
      <w:r>
        <w:t>IT: TPF BB.2018.16 del 16 agosto 2018</w:t>
      </w:r>
    </w:p>
    <w:p>
      <w:pPr>
        <w:pStyle w:val="Heading2"/>
      </w:pPr>
      <w:r>
        <w:t>Regeste</w:t>
      </w:r>
    </w:p>
    <w:p>
      <w:r>
        <w:t>Consultation des dossiers (art. 101 s. en lien avec l'art. 107 al. 1 let. a CPP); actes de procédure du Ministère public de la Confédération (art. 20 al. 1 let. b en lien avec l'art. 393 al. 1 let. a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12 février 2018, contre une décision reçue au plus tôt le 2 février 2018, le recours l'a été en temps utile (art. 90 al. 2 CPP).</w:t>
      </w:r>
    </w:p>
    <w:p>
      <w:r>
        <w:rPr>
          <w:b/>
        </w:rPr>
        <w:t>E. 1.3</w:t>
      </w:r>
    </w:p>
    <w:p>
      <w:r>
        <w:t>B. estime que le recourant ne dispose pas de la qualité pour recourir. Il retient en effet que la décision entreprise ne le concerne en rien personnellement.</w:t>
      </w:r>
    </w:p>
    <w:p>
      <w:r>
        <w:rPr>
          <w:b/>
        </w:rPr>
        <w:t>E. 1.3.1</w:t>
      </w:r>
    </w:p>
    <w:p>
      <w:r>
        <w:t>Dispose de la qualité pour recourir toute partie qui a un intérêt juridiquement protégé à l'annulation ou à la modification d'une décision (art. 382 al. 1 CPP). Participent également à la procédure les tiers touchés par des actes de pro- cédure (art. 105 al. 1 let. f CPP). Lorsque les participants à la procédure visés à l’al. 1 sont directement touchés dans leur droits, la qualité de partie leur est reconnue dans la mesure nécessaire à la sauvegarde de leurs inté- rêts (art. 105 al. 2 CPP). Lorsqu’un avocat est personnellement touché par un acte de procédure, notamment en cas de perquisition ou de séquestre au sein de son Etude, il devient un participant à la procédure distinct de son client (arrêt du Tribunal fédéral 1B_486/2017 du 10 avril 2018 consid. 1; CAR- NICÉ/EMRY, Les obligations de discrétion prévues par le CPP et leur applica- tion à l’avocat, in La lettre du Conseil n° 55, Ordre des Avocats de Genève, pp 17-22; p. 21). Le recourant doit avoir subi une lésion, soit un préjudice causé par l'acte qu'il attaque et doit avoir un intérêt à l'élimination de ce pré- judice. Cet intérêt doit être actuel et pratique (ATF 137 I 296 consid. 4.2 p. 299; arrêt du Tribunal fédéral 1B_380/2016 du 6 décembre 2016 con- sid. 2; décisions du Tribunal pénal fédéral BB.2013.188 du 12 août 2014 consid. 1.4; BB.2013.89 du 24 octobre 2013 consid. 1.3; BB.2013.88 du 13 septembre 2013 consid. 1.4 et références citées). De cette manière, les tribunaux sont assurés de trancher uniquement des questions concrètes et non de prendre des décisions à caractère théorique (ATF 140 IV 74 con- sid. 1.3.1 p. 77; arrêt du Tribunal fédéral 6B_798/2015 du 22 juillet 2016 con- sid. 4.3.2). Ainsi, l'existence d'un intérêt de pur fait ou la simple perspective d'un intérêt juridique futur ne suffit pas (arrêts du Tribunal fédéral 1B_380/2016 du 6 décembre 2016 consid. 2; 1B_390/2015 du 16 décembre</w:t>
      </w:r>
    </w:p>
    <w:p>
      <w:r>
        <w:t>- 5 -</w:t>
      </w:r>
    </w:p>
    <w:p>
      <w:r>
        <w:t>2015 consid. 2.1 et les arrêts cités). Une partie qui n'est pas concrètement lésée par la décision ne possède donc pas la qualité pour recourir et son recours est irrecevable (arrêts du Tribunal fédéral 1B_72/2014 du 15 avril 2014 consid. 2.1; 1B_669/2012 du 12 mars 2013 consid. 2.3.1 et référence citée).</w:t>
      </w:r>
    </w:p>
    <w:p>
      <w:r>
        <w:rPr>
          <w:b/>
        </w:rPr>
        <w:t>E. 1.3.2</w:t>
      </w:r>
    </w:p>
    <w:p>
      <w:r>
        <w:t>B. ne peut être suivi. En effet, le point deux du dispositif de l’ordonnance entreprise est libellé comme suit « Ordre est donné à Me A. de détruire la clé USB qui lui a été remise par envoi du 15 décembre 2017, ainsi que toute copie des pièces de la rubrique 18-10 ». Il en résulte que le recourant, des- tinataire direct de l’injonction de destruction, est personnellement visé par la décision entreprise. Il doit donc être tenu pour un participant à la procédure au sens de l’art. 105 al. 1 let. f CPP. Par ailleurs, dans la mesure où en tant que mandataire il a en principe droit à la remise des pièces du dossier (art. 108 al. 2 CPP), il a un intérêt juridiquement protégé à s’en prendre à l’ordre de destruction concerné. A ce titre, il est légitimé à recourir. Il y a donc lieu d’entrer en matière.</w:t>
      </w:r>
    </w:p>
    <w:p>
      <w:r>
        <w:rPr>
          <w:b/>
        </w:rPr>
        <w:t>E. 2</w:t>
      </w:r>
    </w:p>
    <w:p>
      <w:r>
        <w:t>Le recourant fait valoir comme unique argument qu’aucune base légale n’autorise le MPC à lui ordonner la destruction querellée. Le MPC invoque pour sa part l’art. 62 CPP et estime que sur cette base, il était en droit d’exi- ger du recourant qu’il détruise des pièces qui se sont trouvées en sa pos- session de manière injustifiée.</w:t>
      </w:r>
    </w:p>
    <w:p>
      <w:r>
        <w:rPr>
          <w:b/>
        </w:rPr>
        <w:t>E. 2.1</w:t>
      </w:r>
    </w:p>
    <w:p>
      <w:r>
        <w:t>La mesure prononcée à l’égard du recourant lui impose d’éliminer des pièces qui lui ont été remises par le MPC. Il s’agit donc d’une mesure de contrainte. L’art. 196 CPP spécifie à ce sujet que les mesures de contrainte sont des actes de procédure des autorités pénales qui portent atteinte aux droits fon- damentaux des personnes intéressées; elles servent à: mettre les preuves en sûreté (let. a); assurer la présence de certaines personnes durant la pro- cédure (let. b) et garantir l'exécution de la décision finale (let. c). Elles ne peuvent être prises que si elles sont prévues par la loi, c’est-à-dire par une disposition légale suffisamment claire et précise (art. 197 al. 1 let. a CPP; ATF 140 IV 28 consid. 3.3; WEBER, Basler Kommentar, Schweizerische Strafprozessordnung, 2e éd. 2014, no 4 ad art. 197 CPP). De la nécessité d’une base légale découle le caractère exhaustif de la liste des mesures de contrainte figurant dans le CPP (JEANNERET/KUHN, Précis de procédure pé- nale, 2013, no 14006 et références citées; WEBER, ibidem; SCHMID/JOSITSCH, Schweizerische Strafprozessordnung, 3e éd. 2017, no 3 ad art. 197).</w:t>
      </w:r>
    </w:p>
    <w:p>
      <w:r>
        <w:rPr>
          <w:b/>
        </w:rPr>
        <w:t>E. 2.2</w:t>
      </w:r>
    </w:p>
    <w:p>
      <w:r>
        <w:t>Le CPP ne prévoit nulle part l’obligation imposée à une partie ou à son re- présentant de détruire des pièces du dossier lorsque celles-ci lui ont été re- mises par erreur par l’autorité d’enquête. Dans un tel cas, les possibilités qui</w:t>
      </w:r>
    </w:p>
    <w:p>
      <w:r>
        <w:t>- 6 -</w:t>
      </w:r>
    </w:p>
    <w:p>
      <w:r>
        <w:t>s’offrent alors à l’autorité sont, selon la loi et si les conditions y relatives sont remplies, soit la perquisition (art. 241 ss CPP) soit l’obligation de dépôt (art. 265 CPP), voire l’obligation de garder le secret (art. 73 CPP).</w:t>
      </w:r>
    </w:p>
    <w:p>
      <w:r>
        <w:rPr>
          <w:b/>
        </w:rPr>
        <w:t>E. 2.3</w:t>
      </w:r>
    </w:p>
    <w:p>
      <w:r>
        <w:t>In casu, le MPC prétend pouvoir se fonder sur l’art. 62 CPP pour légitimer la mesure entreprise. Sous le titre « tâches générales », cette disposition pré- voit « La direction de la procédure ordonne les mesures nécessaires au bon déroulement et à la légalité de la procédure » (al. 1). Ainsi, il appartient au ministère public, lorsqu’il exerce la direction de la procédure, notamment de décider d’ouvrir ou non une instruction ou encore d’ordonner les mesures de contrainte imposées par la situation (art. 198 al. 1 CPP), à l’exception des plus graves pour lesquelles il devra se référer au tribunal des mesures de contrainte (BICHOVSKY, Commentaire romand, Code de procédure pénale suisse, 2011, no 5 ad art. 62). Le magistrat instructeur doit faire et ordonner tout ce qui lui paraît nécessaire pour établir la vérité dans le cadre fixé par la loi (MOREILLON/PAREIN-REYMOND, Petit commentaire Code de procédure pé- nale, 2è éd. 2016, ad art. 62 CPP). Dès lors, s’il découle de cette disposition qu’il appartient effectivement au MPC d’organiser le bon déroulement de l’instruction, elle ne saurait cependant constituer une base légale suffisante pour permettre à l’autorité d’enquête d’ordonner une mesure de contrainte qui n’est pour sa part pas prévue par la loi.</w:t>
      </w:r>
    </w:p>
    <w:p>
      <w:r>
        <w:rPr>
          <w:b/>
        </w:rPr>
        <w:t>E. 2.4</w:t>
      </w:r>
    </w:p>
    <w:p>
      <w:r>
        <w:t>Il est vrai toutefois qu’en vertu du principe in maiore minus, une mesure al- ternative moins incisive que celle qui est prévue dans la loi doit parfois être ordonnée même en l’absence de base légale (JEANNERET/KUHN, Précis de procédure pénale, 2013, no 14006 et références citées). Dans le cas d’es- pèce cependant, la mesure prononcée par le MPC ne peut être tenue pour moins incisive que les alternatives légales précitées qui s’offraient à lui étant donné qu’elle ordonne la destruction pure et simple des documents concer- nés (supra consid. 2.2). De surcroît, la mesure querellée ne permet en au- cune manière de s’assurer qu’elle aura effectivement été suivie d’effet et donc d’atteindre le but poursuivi par l’autorité visant à ce qu’en l’occurrence le destinataire des pièces ne puisse plus en disposer. Si l’obligation de dépôt ou la perquisition ne permettent pas de garantir que le destinataire des actes auxquels il n’avait pas droit n’en n’a pas conservé de copie, elles présentent à tout le moins l’avantage de certifier que les pièces transmises erronément sont récupérées, respectivement retournées, dans leur intégralité.</w:t>
      </w:r>
    </w:p>
    <w:p>
      <w:r>
        <w:rPr>
          <w:b/>
        </w:rPr>
        <w:t>E. 2.5</w:t>
      </w:r>
    </w:p>
    <w:p>
      <w:r>
        <w:t>Compte tenu des éléments qui précèdent, le recours est admis. Il reste qu’au vu de la décision rendue par la Cour de céans dans ce même complexe de faits le 12 juillet 2018 (décision du Tribunal pénal fédéral BB.2018.10 - 15; supra let. D), le recourant ne saurait conserver les pièces de la rubrique 18-10. Il appartiendra donc au MPC de prendre les mesures idoines pour que celles-ci lui soient restituées.</w:t>
      </w:r>
    </w:p>
    <w:p>
      <w:r>
        <w:t>- 7 -</w:t>
      </w:r>
    </w:p>
    <w:p>
      <w:r>
        <w:rPr>
          <w:b/>
        </w:rPr>
        <w:t>E. 3.1</w:t>
      </w:r>
    </w:p>
    <w:p>
      <w:r>
        <w:t>Les frais de la procédure de recours sont mis à la charge des parties dans la mesure où elles ont obtenu gain de cause ou succombé (art. 428 al. 1 CPP). B. qui a conclu au rejet du recours doit être considéré comme ayant succombé. Il a certes demandé à être mis au bénéfice de l’assistance judi- ciaire. Toutefois, il faut admettre, au vu du dossier que, lors du dépôt de la requête d'assistance judiciaire, les chances pour B. d’obtenir gain de cause dans la présente procédure étaient notablement plus faibles que les risques de perdre de sorte que sa demande d’assistance judiciaire gratuite est en l’occurrence rejetée, tant sous l'angle de l'exonération des frais de la pré- sente procédure que de la prise en charge des honoraires de son défenseur (v. art. 136 et 138 CPP). Il se verra donc mettre à charge une partie des frais de la présente procédure qui, compte tenu de sa situation financière, se li- mitent en l’espèce à un émolument fixé à CHF 500.-- (art. 5 et 8 al. 1 du règlement du 31 août 2010 du Tribunal pénal fédéral sur les frais, émolu- ments, dépens et indemnités de la procédure pénale fédérale [RFPPF; RS 173.713.162] en lien avec l’art. 428 al. 4 CPP).</w:t>
      </w:r>
    </w:p>
    <w:p>
      <w:r>
        <w:rPr>
          <w:b/>
        </w:rPr>
        <w:t>E. 3.2</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Lorsque, comme en l’espèce, l'avocat ne fait pas parvenir le décompte de ses prestations dans la procé- dure devant la Cour des plaintes, avec son unique ou sa dernière écriture, le montant des honoraires est fixé selon l'appréciation de la cour (art. 12 al. 2 RFPPF). En l’occurrence, une indemnité à titre de dépens d'un montant de CHF 500.-- (TVA comprise) paraît équitable.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