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BB.2018.142 vom 21. Dezember 2018</w:t>
      </w:r>
    </w:p>
    <w:p>
      <w:r>
        <w:t>Bundesstrafgericht, 2018-12-21, DE</w:t>
      </w:r>
    </w:p>
    <w:p>
      <w:r>
        <w:rPr>
          <w:b/>
        </w:rPr>
        <w:t xml:space="preserve">Quelle: </w:t>
      </w:r>
      <w:r>
        <w:t>https://mcp.opencaselaw.ch/entscheid/bstger_BB.2018.142</w:t>
      </w:r>
    </w:p>
    <w:p>
      <w:r>
        <w:t>FR: TPF BB.2018.142 du 21 décembre 2018</w:t>
      </w:r>
    </w:p>
    <w:p>
      <w:r>
        <w:t>IT: TPF BB.2018.142 del 21 dicembre 2018</w:t>
      </w:r>
    </w:p>
    <w:p>
      <w:pPr>
        <w:pStyle w:val="Heading2"/>
      </w:pPr>
      <w:r>
        <w:t>Regeste</w:t>
      </w:r>
    </w:p>
    <w:p>
      <w:r>
        <w:t>Beschwerde des amtlichen Verteidigers betreffend Akontozahlung (Art. 21 Abs. 4 BStKR).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Juli 2018, mit welcher diese die beantragte Akontozahlung teilweise gut- heisst, anficht;</w:t>
      </w:r>
    </w:p>
    <w:p>
      <w:r>
        <w:t>- mit Beschwerde bei der Beschwerdekammer des Bundesstrafgerichts Ent- scheide angefochten werden können, mit welchen die Bundesanwaltschaft die Entschädigung der amtlichen Verteidigung festsetzt (Art. 135 Abs. 3 lit. a StPO i.V.m. Art. 37 Abs. 1 StBOG);</w:t>
      </w:r>
    </w:p>
    <w:p>
      <w:r>
        <w:t>- vorliegend trotz Anklageerhebung vom 28. September 2018 gestützt auf den Beschluss der Strafkammer vom 6. Dezember 2018 die Verfahrensherr- schaft wieder bei der Bundesanwaltschaft liegt (vgl. oben), sodass die Be- schwerdekammer grundsätzlich zuständig wäre, Beschwerden gegen Ent- scheide der Bundesanwaltschaft betreffend die Entschädigung der amtlichen Verteidigung zu behandeln;</w:t>
      </w:r>
    </w:p>
    <w:p>
      <w:r>
        <w:t>- die (teilweise) gutgeheissene oder verweigerte Akontozahlung jedoch nicht die Festsetzung der Entschädigung tangiert (Urteil des Bundesgerichts 6B_11/2016 vom 18. April 2018 E. 1.4.2; ähnlich Entscheide des Bun- desstrafgerichts BB.2005.20 vom 1. Juni 2005 E. 2 und BB.2006.2 vom</w:t>
      </w:r>
    </w:p>
    <w:p>
      <w:r>
        <w:rPr>
          <w:b/>
        </w:rPr>
        <w:t>E. 24</w:t>
      </w:r>
    </w:p>
    <w:p>
      <w:r>
        <w:t>April 2006 E. 1);</w:t>
      </w:r>
    </w:p>
    <w:p>
      <w:r>
        <w:t>- die Zusprechung einer Akontozahlung eine rein vorläufige, Billigkeitsüberle- gungen entspringende Massnahme darstellt, die in Art. 21 Abs. 4 BStKR mit Bezug auf die amtliche Verteidigung in Bundesstrafverfahren ihre gesetzli- che Grundlage findet;</w:t>
      </w:r>
    </w:p>
    <w:p>
      <w:r>
        <w:t>- der effektive Entscheid über die Festsetzung und Höhe des Honorars des amtlichen Verteidigers erst bei Verfahrensabschluss festgesetzt wird (Art. 135 Abs. 1 und 2 StPO i.V.m. Art. 7 StBOG);</w:t>
      </w:r>
    </w:p>
    <w:p>
      <w:r>
        <w:t>- 4 -</w:t>
      </w:r>
    </w:p>
    <w:p>
      <w:r>
        <w:t>- Akontozahlungen nur dazu dienen, die laufenden Kosten des amtlichen Ver- teidigers sicherzustellen, und zwar ungeachtet des von ihm betriebenen Auf- wandes (Entscheid des Bundesstrafgerichts BB.2005.20 vom 1. Juni 2005 E. 3);</w:t>
      </w:r>
    </w:p>
    <w:p>
      <w:r>
        <w:t>- es damit an einem anfechtbaren Beschwerdeobjekt fehlt, sodass auf die Be- schwerde nicht einzutreten ist;</w:t>
      </w:r>
    </w:p>
    <w:p>
      <w:r>
        <w:t>- bei diesem Ausgang des Verfahrens der Beschwerdeführer die Gerichtskos- ten zu tragen hat (Art. 428 Abs. 1 StPO);</w:t>
      </w:r>
    </w:p>
    <w:p>
      <w:r>
        <w:t>- die Gerichtsgebühr auf Fr. 200.-- festzusetzen ist (Art. 73 StBOG i.v.m. Art. 5 und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