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BB.2018.135 vom 27. Juli 2018</w:t>
      </w:r>
    </w:p>
    <w:p>
      <w:r>
        <w:t>Bundesstrafgericht, 2018-07-27, DE</w:t>
      </w:r>
    </w:p>
    <w:p>
      <w:r>
        <w:rPr>
          <w:b/>
        </w:rPr>
        <w:t xml:space="preserve">Quelle: </w:t>
      </w:r>
      <w:r>
        <w:t>https://mcp.opencaselaw.ch/entscheid/bstger_BB.2018.135</w:t>
      </w:r>
    </w:p>
    <w:p>
      <w:r>
        <w:t>FR: TPF BB.2018.135 du 27 juillet 2018</w:t>
      </w:r>
    </w:p>
    <w:p>
      <w:r>
        <w:t>IT: TPF BB.2018.135 del 27 luglio 2018</w:t>
      </w:r>
    </w:p>
    <w:p>
      <w:pPr>
        <w:pStyle w:val="Heading2"/>
      </w:pPr>
      <w:r>
        <w:t>Regeste</w:t>
      </w:r>
    </w:p>
    <w:p>
      <w:r>
        <w:t>Verfahrenshandlung der Bundesanwaltschaft (Art. 20 Abs. 1 lit. b i.V.m. Art. 393 Abs. 1 lit. a StPO). Verschiebung von Terminen (Art. 92 StPO).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Juli 2012 E. 2.1, mit Hinweisen; WEDER, in: Donatsch/Hansjakob/Lieber [Hrsg.], Kommentar zur Schweizerischen Strafprozessordnung [StPO]), 2. Aufl. 2014, N. 8 ff. zu Art. 202);</w:t>
      </w:r>
    </w:p>
    <w:p>
      <w:r>
        <w:t>- der Beschwerdeführer mit Bezug auf den Termin vom 6. September 2018, geltend macht, im Rahmen einer Weiterbildung an einem obligatorischen Se- minar an der Universität Zürich verhindert zu sein; er ohne den Besuch die- ses Seminars die Prüfung des zugehörigen Moduls nicht abschliessen könne (act. 1, S. 7; act. 1.3);</w:t>
      </w:r>
    </w:p>
    <w:p>
      <w:r>
        <w:t>- dem bei den Akten liegenden „Curriculum 2018-2020“ zum Studiengang MAS in Applied History der Universität Zürich entnommen werden kann, dass vom 6. bis 9. September 2018 ein Seminar „Weltperspektiven I: East Asia“ stattfindet (act. 1.3.1);</w:t>
      </w:r>
    </w:p>
    <w:p>
      <w:r>
        <w:t>- gemäss Auszug aus dem Vertrag mit der Programmleitung des Nachdiplom- studiengangs „Applied History“ ein ungenügender Leistungsnachweis einmal am nächstmöglichen Termin wiederholt werden könne, ansonsten er als de- finitiv nicht bestanden gelte; sofern ein Teilnehmer der Erbringung eines Leistungsnachweises unabgemeldet fern bleibe, dieser als nicht bestanden gelte; weitere Details zur Abmeldung von Leistungsnachweisen der Verord- nung zum Studiengang zu entnehmen seien (act. 1.3.3., Ziff. 2 des Vertra- ges);</w:t>
      </w:r>
    </w:p>
    <w:p>
      <w:r>
        <w:t>- der öffentlich zugänglichen Verordnung über die Weiterbildungsstudien- gänge CAS, DAS und MAS in Applied History an der Philosophischen Fakul- tät der Universität Zürich vom 25. Januar 2016 (https://mas-applied-his- tory.ch/wp-content/uploads/Verordnung.pdf) in deren § 13 und 14 entnom- men werden kann, dass ein Modul als dann bestanden gelte, wenn der da- zugehörige Leistungsnachweis mit Erfolg erbracht worden sei; im Falle eines Eintritts eines zwingenden, unvorhersehbaren und unabwendbaren Verhin- derungsgrundes vor Beginn des Leistungsnachweises der Studiengangleite- rin oder dem Studiengangleiter unverzüglich ein schriftliches, begründetes und mit einer entsprechenden Bestätigung versehenes Abmeldegesuch ein- zureichen sei;</w:t>
      </w:r>
    </w:p>
    <w:p>
      <w:r>
        <w:t>- die Bundesanwaltschaft sich bereit erklärt hat, dem Beschwerdeführer zu- handen der Universität Zürich eine entsprechende Bescheinigung zur Be- gründung der Absenz zu verfassen (act. 1.6, S. 2);</w:t>
      </w:r>
    </w:p>
    <w:p>
      <w:r>
        <w:t>- 5 -</w:t>
      </w:r>
    </w:p>
    <w:p>
      <w:r>
        <w:t>- die Bundesanwaltschaft dem Beschwerdeführer ferner insgesamt mindes- tens 20 Termine vorgeschlagen hatte, die vom Beschwerdeführer bzw. sei- nem Vertreter jedoch als unmöglich bezeichnet wurden;</w:t>
      </w:r>
    </w:p>
    <w:p>
      <w:r>
        <w:t>- unter Berücksichtigung sämtlicher Gegebenheiten die eintägige Absenz vom viertägigen Seminar an der Universität Zürich dem Beschwerdeführer zuge- mutet werden kann;</w:t>
      </w:r>
    </w:p>
    <w:p>
      <w:r>
        <w:t>- unter diesen Umständen offen bleiben kann, ob es sich beim Besuch des Seminars überhaupt um eine für den Beschwerdeführer bedeutsame beruf- liche oder gesellschaftliche Verpflichtung handelt;</w:t>
      </w:r>
    </w:p>
    <w:p>
      <w:r>
        <w:t>- die Bundesanwaltschaft daher das Verschiebungsgesuch betreffend die Ein- vernahme des Beschwerdeführers als Beschuldigten vom 6. Septem- ber 2018 ohne Weiteres ablehnen durfte;</w:t>
      </w:r>
    </w:p>
    <w:p>
      <w:r>
        <w:t>- Gleiches mit Bezug auf die Ablehnung des Verschiebungsgesuchs hinsicht- lich der Einvernahme von B. vom 5. September 2018 festzustellen ist;</w:t>
      </w:r>
    </w:p>
    <w:p>
      <w:r>
        <w:t>- die Bundesanwaltschaft diesbezüglich nämlich ausführte, dass gestützt auf eine Doodle-Umfrage unter sämtlichen Verfahrensparteien ergeben habe, dass am 5. September 2018 die grösstmögliche Anzahl von Verfahrenspar- teien – nämlich fünf von insgesamt sieben – verfügbar seien (act. 1.6, S. 3);</w:t>
      </w:r>
    </w:p>
    <w:p>
      <w:r>
        <w:t>- der Vertreter des Beschwerdeführers hingegen geltend machte, am 5. Sep- tember 2018 wegen einer Einvernahme bei der Staatsanwaltschaft Zürich- Limmat besetzt zu sein (act. 1.5, S. 2);</w:t>
      </w:r>
    </w:p>
    <w:p>
      <w:r>
        <w:t>- der Grundsatz der effizienten Verteidigung die Pflicht des Verteidigers bein- haltet, bei unlösbaren Terminkollisionen für die Terminwahrung eine Stell- vertretung zu beauftragen (vgl. Beschluss der [I]. Beschwerdekammer des Bundesstrafgerichts BB.2008. 35 vom 14. April 2008), wozu er vorliegend gemäss des mit dem Beschwerdeführer abgeschlossenen Auftragsverhält- nisses ausdrücklich ermächtigt ist (act. 1.1);</w:t>
      </w:r>
    </w:p>
    <w:p>
      <w:r>
        <w:t>- sich die Beschwerde nach dem Gesagten sofort als unbegründet erweist und ohne vorgängigen Schriftenwechsel abzuweisen ist (Art. 390 Abs. 2 StPO);</w:t>
      </w:r>
    </w:p>
    <w:p>
      <w:r>
        <w:t>- bei diesem Ausgang des Verfahrens der Beschwerdeführer die Kosten zu tragen hat (Art. 428 Abs. 1 StPO);</w:t>
      </w:r>
    </w:p>
    <w:p>
      <w:r>
        <w:t>- die Gerichtsgebühr auf Fr. 1‘000.-- festzusetzen ist (Art. 73 StBOG und Art. 5 und 8 Abs. 1 BStKR).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