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BB.2018.113 vom 24. Juli 2018</w:t>
      </w:r>
    </w:p>
    <w:p>
      <w:r>
        <w:t>Bundesstrafgericht, 2018-07-24, DE</w:t>
      </w:r>
    </w:p>
    <w:p>
      <w:r>
        <w:rPr>
          <w:b/>
        </w:rPr>
        <w:t xml:space="preserve">Quelle: </w:t>
      </w:r>
      <w:r>
        <w:t>https://mcp.opencaselaw.ch/entscheid/bstger_BB.2018.113</w:t>
      </w:r>
    </w:p>
    <w:p>
      <w:r>
        <w:t>FR: TPF BB.2018.113 du 24 juillet 2018</w:t>
      </w:r>
    </w:p>
    <w:p>
      <w:r>
        <w:t>IT: TPF BB.2018.113 del 24 luglio 2018</w:t>
      </w:r>
    </w:p>
    <w:p>
      <w:pPr>
        <w:pStyle w:val="Heading2"/>
      </w:pPr>
      <w:r>
        <w:t>Regeste</w:t>
      </w:r>
    </w:p>
    <w:p>
      <w:r>
        <w:t>Entscheid über die beschlagnahmten Vermögenswerte (Art. 267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 2014, Art. 417 StPO N. 7, 13; GRIESSER, in: Donatsch/Hansjakob/Lie- ber [Hrsg.], Kommentar zur Schweizerischen Strafprozessordnung, 2. Aufl.</w:t>
      </w:r>
    </w:p>
    <w:p>
      <w:r>
        <w:t>- 5 -</w:t>
      </w:r>
    </w:p>
    <w:p>
      <w:r>
        <w:t>2014, Art. 417 StPO N. 4; MINI, in: Bernasconi/Galliani Godenzi/Marcel- lini/Meli/Mini/Noseda [Hrsg.], Commentario, Codice svizzero di procedura penale, 2010, Art. 417 StPO N. 2; MOREILLON/PAREIN-REYMOND, Code de procédure pénale, 2. Aufl. 2016, Art. 417 StPO N. 5 f.; SCHMID/JOSITSCH, Handbuch des schweizerischen Strafprozessrechts, 3. Aufl. 2017, N. 1762; DIES., Schweizerische Strafprozessordnung, Praxiskommentar, 3. Aufl. 2018, Art. 417 StPO N. 2);</w:t>
      </w:r>
    </w:p>
    <w:p>
      <w:r>
        <w:t>- vorliegend dem Rechtsbeistand die offensichtliche Unzulässigkeit der Be- schwerde vom 20. Juni 2018 bei Beachtung eines Minimums an Aufmerk- samkeit von vornherein klar sein musste; dazu die von ihm zu verantworten- den Mängel im eigenen Geschäftsbereich kommen; unter diesen Umständen Rechtsanwalt A. die Kosten des Rechtsmittelverfahrens als deren Verursa- cher zu tragen hat;</w:t>
      </w:r>
    </w:p>
    <w:p>
      <w:r>
        <w:t>- die Gerichtsgebühr vorliegend auf Fr. 500.– festzusetzen ist (Art. 73 StBOG i.V.m. Art. 5 und 8 Abs. 1 des Reglements des Bundesstrafgerichts vom 31. August 2010 über Kosten, Gebühren und Entschädigungen in Bundes- strafverfahren [BStKR; SR 173.713.162]);</w:t>
      </w:r>
    </w:p>
    <w:p>
      <w:r>
        <w:t>- dieser Beschluss gestützt auf Art. IIIA lit. a des Vertrags vom 13. November 1969 zwischen der Schweizerischen Eidgenossenschaft und der Bundesre- publik Deutschland über die Ergänzung des Europäischen Übereinkommens über die Rechtshilfe in Strafsachen vom 20. April 1959 und die Erleichterung seiner Anwendung (SR 0.351.913.61) unmittelbar durch die Post an Rechts- anwalt A. mit Geschäftsadresse in Deutschland übersendet werden kann;</w:t>
      </w:r>
    </w:p>
    <w:p>
      <w:r>
        <w:t>- 6 -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