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BB.2018.111 vom 20. Juni 2018</w:t>
      </w:r>
    </w:p>
    <w:p>
      <w:r>
        <w:t>Bundesstrafgericht, 2018-06-20, DE</w:t>
      </w:r>
    </w:p>
    <w:p>
      <w:r>
        <w:rPr>
          <w:b/>
        </w:rPr>
        <w:t xml:space="preserve">Quelle: </w:t>
      </w:r>
      <w:r>
        <w:t>https://mcp.opencaselaw.ch/entscheid/bstger_BB.2018.111</w:t>
      </w:r>
    </w:p>
    <w:p>
      <w:r>
        <w:t>FR: TPF BB.2018.111 du 20 juin 2018</w:t>
      </w:r>
    </w:p>
    <w:p>
      <w:r>
        <w:t>IT: TPF BB.2018.111 del 20 giugno 2018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April 2018 an die Bundesanwaltschaft Kenntnis von der Durchsuchung und damit vom angeblichen Ausstandsgrund hatte (vgl. act. 1.5);</w:t>
      </w:r>
    </w:p>
    <w:p>
      <w:r>
        <w:t>- sich das Ausstandsbegehren vom 4. Juni 2018 damit eindeutig als verspätet erweist, weshalb auf das Gesuch nicht einzutreten ist;</w:t>
      </w:r>
    </w:p>
    <w:p>
      <w:r>
        <w:t>- die Kosten des vorliegenden Verfahrens daher von der Gesuchstellerin zu tragen (Art. 59 Abs. 4 StPO) und auf Fr. 500.-- festzusetzen sind (Art. 73 StBOG und Art. 5 und 8 Abs. 2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