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BB.2017.92 vom 6. Juni 2017</w:t>
      </w:r>
    </w:p>
    <w:p>
      <w:r>
        <w:t>Bundesstrafgericht, 2017-06-06, DE</w:t>
      </w:r>
    </w:p>
    <w:p>
      <w:r>
        <w:rPr>
          <w:b/>
        </w:rPr>
        <w:t xml:space="preserve">Quelle: </w:t>
      </w:r>
      <w:r>
        <w:t>https://mcp.opencaselaw.ch/entscheid/bstger_BB.2017.92</w:t>
      </w:r>
    </w:p>
    <w:p>
      <w:r>
        <w:t>FR: TPF BB.2017.92 du 6 juin 2017</w:t>
      </w:r>
    </w:p>
    <w:p>
      <w:r>
        <w:t>IT: TPF BB.2017.92 del 6 giugno 2017</w:t>
      </w:r>
    </w:p>
    <w:p>
      <w:pPr>
        <w:pStyle w:val="Heading2"/>
      </w:pPr>
      <w:r>
        <w:t>Regeste</w:t>
      </w:r>
    </w:p>
    <w:p>
      <w:r>
        <w:t>Verfahrenshandlung der Bundesanwaltschaft (Art. 20 Abs. 1 lit. b i.V.m. Art. 393 Abs 1 lit. a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Als Privatklägerschaft gilt die geschä- digte Person, die ausdrücklich erklärt, sich am Strafverfahren als Straf- oder Zivilklägerin zu beteiligen (Art. 118 Abs. 1 StPO). Die Beschwerde gegen schriftlich oder mündlich eröffnete Entscheide ist innert zehn Tagen schrift- lich und begründet einzureichen (Art. 396 Abs. 1 StPO). Mit ihr können Rechtsverletzungen gerügt werden, einschliesslich Überschreitung und Missbrauch des Ermessens, Rechtsverweigerung und Rechtsverzögerung</w:t>
      </w:r>
    </w:p>
    <w:p>
      <w:r>
        <w:t>- 5 -</w:t>
      </w:r>
    </w:p>
    <w:p>
      <w:r>
        <w:t>(Art. 393 Abs. 2 lit. a StPO), sowie die unvollständige oder unrichtige Fest- stellung des Sachverhalts (Art. 393 Abs. 2 lit. b StPO) und die Unangemes- senheit (Art. 393 Abs. 2 lit. c StPO).</w:t>
      </w:r>
    </w:p>
    <w:p>
      <w:r>
        <w:rPr>
          <w:b/>
        </w:rPr>
        <w:t>E. 1.2</w:t>
      </w:r>
    </w:p>
    <w:p>
      <w:r>
        <w:t>Die Beschwerdeführerin erhielt Kopie der Vorladung vom 10. Mai 2017 an den Beschuldigten (act. 1.2), die angefochtene Verfügung (act. 1.7 / act. 1 S. 2 Ziff. 2), mit Schreiben vom gleichen Datum (act. 1.5). Sie ist als Privat- klägerin und damit als grundsätzlich teilnahmeberechtigte Adressatin der Vorladung zur Beschwerde legitimiert. Auf die auch frist- und formgerecht eingereichte Beschwerde ist einzutreten.</w:t>
      </w:r>
    </w:p>
    <w:p>
      <w:r>
        <w:rPr>
          <w:b/>
        </w:rPr>
        <w:t>E. 2</w:t>
      </w:r>
    </w:p>
    <w:p>
      <w:r>
        <w:t>Aufl., Zürich/St. Gallen 2013, N. 982 und Fn28 dazu; WEDER, a.a.O., Art. 202 N. 7). Die zentralen Verteidigungsrechte, aber auch der sinnvolle Ablauf des Geschäftsverkehrs, haben in der Praxis der meisten Kantone in Übereinstimmung mit dem Grundsatz der Verhältnismässigkeit zur selbst- verständlichen Absprache der Termine geführt (ARQUINT, Basler Kommen- tar, 2. Aufl. Basel 2014, Art. 202 StPO N. 4).</w:t>
      </w:r>
    </w:p>
    <w:p>
      <w:r>
        <w:t>- 6 -</w:t>
      </w:r>
    </w:p>
    <w:p>
      <w:r>
        <w:t>Die zur Anwesenheit berechtigten Personen sind über die Einvernahmeter- mine rechtzeitig zu benachrichtigen. Sie haben keinen Anspruch auf Ver- schiebung des Termins. Dieser Grundsatz lässt indessen dem Untersu- chungsrichter die Möglichkeit offen, je nach Begründetheit des Verschie- bungsgesuchs einzelfallgerecht und mit der nötigen Flexibilität zu entschei- den. Die Verteidiger haben bei unlösbaren Terminkollisionen für die Termin- wahrung die Pflicht, eine Stellvertretung zu beauftragen (TPF 2008 50 zu Art. 118 BStP).</w:t>
      </w:r>
    </w:p>
    <w:p>
      <w:r>
        <w:rPr>
          <w:b/>
        </w:rPr>
        <w:t>E. 2.1</w:t>
      </w:r>
    </w:p>
    <w:p>
      <w:r>
        <w:t>Vorladungen werden im Vorverfahren mindestens drei Tage vor der Verfah- renshandlung zugestellt (Art. 202 Abs. 1 lit. a StPO). Bei der Festlegung des Zeitpunkts wird auf die Abkömmlichkeit der vorzuladenden Personen ange- messen Rücksicht genommen (Art. 202 Abs. 3 StPO). Staatliches Handeln muss verhältnismässig sein (Art. 5 Abs. 2 BV). Mit dem Begriff "angemessen" in Art. 202 Abs. 3 StPO wird zum Ausdruck gebracht, dass bei der terminlichen Festsetzung der Verfahrenshandlung im Spannungsfeld zwischen den Bedürfnissen der vorzuladenden Behörden und ihren Funktionären, den sich aus dem Strafverfahren selbst ergebenden Bedürfnissen und den Bedürfnissen aller vorzuladenden Personen, welche gegeneinander abzuwägen sind, zu entscheiden ist (WEDER, Kommentar zur Schweizerischen Strafprozessordnung, 2. Aufl., Zürich/Basel/Genf 2014, Art. 202 N. 7a). Insbesondere mit den Rechtsbeiständen ist vorgängig Kontakt aufzuneh- men. Bei Vorladungen zu Verhandlungen sollte vorgängig (wenn möglich, vgl. Beschluss des Bundesstrafgerichts BB.2008.35 vom 14. April 2008: Ver- fahren mit 17 Beschuldigten) der Termin mit der Anwaltschaft abgesprochen werden (SCHMID, Handbuch des schweizerischen Strafprozessrechts,</w:t>
      </w:r>
    </w:p>
    <w:p>
      <w:r>
        <w:rPr>
          <w:b/>
        </w:rPr>
        <w:t>E. 2.2</w:t>
      </w:r>
    </w:p>
    <w:p>
      <w:r>
        <w:t>Die Einvernahmetermine vom 30. Mai 2017 und 1. Juni 2017 passten den Vertretern beider Parteien (vgl. litera B vorstehend). Dass die BA davon ab- weicht, erklärt sie mit organisatorischen Gründen. Im Beschwerdeverfahren reicht sie dazu als erklärenden Beleg das E-Mail der Leiterin Führungsassis- tenz im Generalsekretariat der BA vom 8. Mai 2017 an die Verfahrensassis- tentinnen und -assistenten ins Recht. Der Grund sind demnach die Statisti- ken für die Aufsichtsbehörde AB-BA, die bereits am 29. Mai 2017 zu liefern sind (act. 3.7). Dies ziehe einen erheblichen Arbeitsaufwand nach sich. Diese neu hinzugetretenen Umstände würden es Verfahrensleitung und Ver- fahrensassistenz verunmöglichen, bis zum 1. Juni 2017 die Schlusseinver- nahme auszuarbeiten (act. 7 S. 2 Duplik).</w:t>
      </w:r>
    </w:p>
    <w:p>
      <w:r>
        <w:rPr>
          <w:b/>
        </w:rPr>
        <w:t>E. 2.3</w:t>
      </w:r>
    </w:p>
    <w:p>
      <w:r>
        <w:t>Die BA hat im Beschwerdeverfahren plausibel dargelegt, dass ein Vorla- dungstermin aus der ersten Dreiergruppe (30. Mai / 31. Mai und 1. Juni 2017) nicht mehr ihren veränderten Bedürfnissen entspricht. Andere Vorbringen der BA gehen an der Sache vorbei, wie das Argument, die Rechtsvertreter der Beschwerdeführerin hätten in der Doodle-Umfrage den 8. Juni 2017 zwar leergelassen (nicht angekreuzt), mangels konkreter Angaben von zwingen- den Verhinderungsgründen bei der "Doodle-Umfrage" (vgl. das E-Mail zur Terminabsprache in litera A, act. 1.3) in den Termin dennoch eben konklu- dent eingewilligt. Vorliegend geht es nicht um ein Terminverschiebungsgesuch einer Partei, sondern um die erstmalige Terminabsprache für eine Einvernahme und es ist die BA, welche auf die selbst vorgeschlagenen Termine zurückkommen muss. Wenn die BA am 10. Mai 2017 ohne weiteres einen Vorladungstermin aus der zweiten Dreiergruppe (6.–8. Juni 2017) bezeichnet, so unterlässt sie damit eine korrekte Interessenabwägung zwischen allen Bedürfnissen: Die Rechtsvertreter der Beschwerdeführerin sind für vorgeschlagene, dem Be- schuldigten passende Termine (30. Mai, 1. Juni 2017) verfügbar, belegen in- des plausibel, am 8. Juni 2017 verhindert zu sein (act. 5.1, 5.2). Die BA hätte es in der Hand gehabt, nach rund drei Tagen und innert laufender "Doodle- Umfrage" neue Termine vorzuschlagen (Start Umfrage: 5. Mai 2017; Ankün-</w:t>
      </w:r>
    </w:p>
    <w:p>
      <w:r>
        <w:t>- 7 -</w:t>
      </w:r>
    </w:p>
    <w:p>
      <w:r>
        <w:t>digung Statistik: 8. Mai 2017; Umfrageende: 9. Mai 2017, 12 Uhr). Ein sol- ches Vorgehen hätte zeitnahe Alternativtermine begünstigt. Der Beschul- digte ist sodann auf freiem Fuss, was (anders als Untersuchungshaft) eben- falls nicht gegen terminliche Flexibilität für die Einvernahme spricht. Unter den gegebenen Umständen hat die BA daher den Vorladungstermin auf den 8. Juni 2017 festgelegt, ohne die gebotene angemessene Rücksicht auf die Abkömmlichkeit der Beschwerdeführerin zu nehmen (vgl. Art. 202 Abs. 3 StPO).</w:t>
      </w:r>
    </w:p>
    <w:p>
      <w:r>
        <w:rPr>
          <w:b/>
        </w:rPr>
        <w:t>E. 2.4</w:t>
      </w:r>
    </w:p>
    <w:p>
      <w:r>
        <w:t>Die Vorladung vom 10. Mai 2017 ist demnach abzunehmen. Die BA hat so- mit Termine für eine neue Einvernahme des Beschuldigten zu suchen und den Rechtsvertretern der Parteien eine Teilnahme zu ermöglichen.</w:t>
      </w:r>
    </w:p>
    <w:p>
      <w:r>
        <w:rPr>
          <w:b/>
        </w:rPr>
        <w:t>E. 2.5</w:t>
      </w:r>
    </w:p>
    <w:p>
      <w:r>
        <w:t>Die Bundesanwaltschaft ist verantwortlich für die Verfahrensleitung für alle Angelegenheiten, die in ihre eigene Zuständigkeit fallen (BGE 137 IV 215 E. 2.4; Entscheide des Bundesstrafgerichts BB.2012.33 vom 13. Juni 2012, E. 1.3; BB.2005.4 vom 27. April 2005, E. 6 "es ist nicht Aufgabe der Be- schwerdekammer, der Bundesanwaltschaft die Verantwortung für die Füh- rung der Untersuchung abzunehmen"). Dies entspricht grundsätzlichen Überlegungen – der Beschwerdeinstanz gebietend, sich bei allgemeinen Weisungen an die Strafverfolgungsbehörde zurückzuhalten (KELLER, Kom- mentar zur Schweizerischen Strafprozessordnung, Zürich 2014, Art. 397 N. 9; auch in diesem Sinne zu verstehen: Urteil des Bundesgerichts 1B_138/2013 vom 24. September 2013, E. 4.4 zum Ausstandsverfahren; SCHMID, Handbuch des Schweizerischen Strafprozessrechts, 2. Aufl., Zü- rich/St. Gallen 2013, N. 347 "Aus Gründen der Gewaltentrennung darf dieses Weisungs- und Auftragsrecht von den Gerichten nur zurückhaltend einge- setzt werden."; GUIDON, Die Beschwerde gemäss Schweizerischer Strafpro- zessordnung, Zürich/St. Gallen 2011, N. 557 f.). Der BA ist vorliegend nicht vorzuschreiben, wie sie das Verfahren weiter zu führen hat.</w:t>
      </w:r>
    </w:p>
    <w:p>
      <w:r>
        <w:rPr>
          <w:b/>
        </w:rPr>
        <w:t>E. 2.6</w:t>
      </w:r>
    </w:p>
    <w:p>
      <w:r>
        <w:t>Das Gesuch um aufschiebende Wirkung für die Dauer des Beschwerdever- fahrens ist mit dem vorliegenden Endentscheid gegenstandslos geworden und daher entsprechend abzuschreiben.</w:t>
      </w:r>
    </w:p>
    <w:p>
      <w:r>
        <w:rPr>
          <w:b/>
        </w:rPr>
        <w:t>E. 3</w:t>
      </w:r>
    </w:p>
    <w:p>
      <w:r>
        <w:t>Bei diesem Ausgang des Verfahrens sind keine Gerichtsgebühren zu erhe- ben (vgl. Art. 423 Abs. 1 StPO; Art. 428 Abs. 1 StPO).</w:t>
      </w:r>
    </w:p>
    <w:p>
      <w:r>
        <w:rPr>
          <w:b/>
        </w:rPr>
        <w:t>E. 4</w:t>
      </w:r>
    </w:p>
    <w:p>
      <w:r>
        <w:t>Die Beschwerdegegnerin hat der Beschwerdeführerin für ihre Aufwendun- gen im vorliegenden Verfahren eine Parteientschädigung von pauschal</w:t>
      </w:r>
    </w:p>
    <w:p>
      <w:r>
        <w:t>- 8 -</w:t>
      </w:r>
    </w:p>
    <w:p>
      <w:r>
        <w:t>Fr. 2'000.-- zu entrichten (vgl. Art. 429 Abs. 1 lit. a StPO; Art. 73 StBOG und Art. 5 und 8 Abs. 1 des Reglements des Bundesstrafgerichts vom 31. Au- gust 2010 über die Kosten, Gebühren und Entschädigungen in Bundesstraf- 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